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170" w:type="dxa"/>
        <w:tblLook w:val="04A0" w:firstRow="1" w:lastRow="0" w:firstColumn="1" w:lastColumn="0" w:noHBand="0" w:noVBand="1"/>
      </w:tblPr>
      <w:tblGrid>
        <w:gridCol w:w="846"/>
        <w:gridCol w:w="3440"/>
        <w:gridCol w:w="1379"/>
        <w:gridCol w:w="4962"/>
        <w:gridCol w:w="1984"/>
        <w:gridCol w:w="1559"/>
      </w:tblGrid>
      <w:tr w:rsidR="008F060A" w:rsidRPr="008F060A" w14:paraId="05D8D5B7" w14:textId="77777777" w:rsidTr="008F060A">
        <w:trPr>
          <w:trHeight w:val="501"/>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74C4A0D8" w14:textId="77777777" w:rsidR="008F060A" w:rsidRPr="008F060A" w:rsidRDefault="008F060A" w:rsidP="008F060A">
            <w:pPr>
              <w:spacing w:after="0" w:line="240" w:lineRule="auto"/>
              <w:jc w:val="center"/>
              <w:rPr>
                <w:rFonts w:ascii="Calibri" w:eastAsia="Times New Roman" w:hAnsi="Calibri" w:cs="Calibri"/>
                <w:b/>
                <w:bCs/>
                <w:color w:val="000000"/>
                <w:sz w:val="24"/>
                <w:szCs w:val="24"/>
                <w:lang w:eastAsia="en-GB"/>
              </w:rPr>
            </w:pPr>
            <w:r w:rsidRPr="008F060A">
              <w:rPr>
                <w:rFonts w:ascii="Calibri" w:eastAsia="Times New Roman" w:hAnsi="Calibri" w:cs="Calibri"/>
                <w:b/>
                <w:bCs/>
                <w:color w:val="000000"/>
                <w:sz w:val="24"/>
                <w:szCs w:val="24"/>
                <w:lang w:eastAsia="en-GB"/>
              </w:rPr>
              <w:t>Issue Ref</w:t>
            </w:r>
          </w:p>
        </w:tc>
        <w:tc>
          <w:tcPr>
            <w:tcW w:w="3440" w:type="dxa"/>
            <w:tcBorders>
              <w:top w:val="single" w:sz="4" w:space="0" w:color="auto"/>
              <w:left w:val="nil"/>
              <w:bottom w:val="single" w:sz="4" w:space="0" w:color="auto"/>
              <w:right w:val="single" w:sz="4" w:space="0" w:color="auto"/>
            </w:tcBorders>
            <w:shd w:val="clear" w:color="auto" w:fill="auto"/>
            <w:hideMark/>
          </w:tcPr>
          <w:p w14:paraId="365B784E" w14:textId="77777777" w:rsidR="008F060A" w:rsidRPr="008F060A" w:rsidRDefault="008F060A" w:rsidP="008F060A">
            <w:pPr>
              <w:spacing w:after="0" w:line="240" w:lineRule="auto"/>
              <w:jc w:val="center"/>
              <w:rPr>
                <w:rFonts w:ascii="Calibri" w:eastAsia="Times New Roman" w:hAnsi="Calibri" w:cs="Calibri"/>
                <w:b/>
                <w:bCs/>
                <w:color w:val="000000"/>
                <w:sz w:val="24"/>
                <w:szCs w:val="24"/>
                <w:lang w:eastAsia="en-GB"/>
              </w:rPr>
            </w:pPr>
            <w:r w:rsidRPr="008F060A">
              <w:rPr>
                <w:rFonts w:ascii="Calibri" w:eastAsia="Times New Roman" w:hAnsi="Calibri" w:cs="Calibri"/>
                <w:b/>
                <w:bCs/>
                <w:color w:val="000000"/>
                <w:sz w:val="24"/>
                <w:szCs w:val="24"/>
                <w:lang w:eastAsia="en-GB"/>
              </w:rPr>
              <w:t xml:space="preserve">Consultation Question </w:t>
            </w:r>
          </w:p>
        </w:tc>
        <w:tc>
          <w:tcPr>
            <w:tcW w:w="1379" w:type="dxa"/>
            <w:tcBorders>
              <w:top w:val="single" w:sz="4" w:space="0" w:color="auto"/>
              <w:left w:val="nil"/>
              <w:bottom w:val="single" w:sz="4" w:space="0" w:color="auto"/>
              <w:right w:val="single" w:sz="4" w:space="0" w:color="auto"/>
            </w:tcBorders>
            <w:shd w:val="clear" w:color="auto" w:fill="auto"/>
            <w:hideMark/>
          </w:tcPr>
          <w:p w14:paraId="6E23094C" w14:textId="77777777" w:rsidR="008F060A" w:rsidRPr="008F060A" w:rsidRDefault="008F060A" w:rsidP="008F060A">
            <w:pPr>
              <w:spacing w:after="0" w:line="240" w:lineRule="auto"/>
              <w:jc w:val="center"/>
              <w:rPr>
                <w:rFonts w:ascii="Calibri" w:eastAsia="Times New Roman" w:hAnsi="Calibri" w:cs="Calibri"/>
                <w:b/>
                <w:bCs/>
                <w:color w:val="000000"/>
                <w:sz w:val="24"/>
                <w:szCs w:val="24"/>
                <w:lang w:eastAsia="en-GB"/>
              </w:rPr>
            </w:pPr>
            <w:r w:rsidRPr="008F060A">
              <w:rPr>
                <w:rFonts w:ascii="Calibri" w:eastAsia="Times New Roman" w:hAnsi="Calibri" w:cs="Calibri"/>
                <w:b/>
                <w:bCs/>
                <w:color w:val="000000"/>
                <w:sz w:val="24"/>
                <w:szCs w:val="24"/>
                <w:lang w:eastAsia="en-GB"/>
              </w:rPr>
              <w:t xml:space="preserve">Party </w:t>
            </w:r>
          </w:p>
        </w:tc>
        <w:tc>
          <w:tcPr>
            <w:tcW w:w="4962" w:type="dxa"/>
            <w:tcBorders>
              <w:top w:val="single" w:sz="4" w:space="0" w:color="auto"/>
              <w:left w:val="nil"/>
              <w:bottom w:val="single" w:sz="4" w:space="0" w:color="auto"/>
              <w:right w:val="single" w:sz="4" w:space="0" w:color="auto"/>
            </w:tcBorders>
            <w:shd w:val="clear" w:color="auto" w:fill="auto"/>
            <w:hideMark/>
          </w:tcPr>
          <w:p w14:paraId="512894F4" w14:textId="77777777" w:rsidR="008F060A" w:rsidRPr="008F060A" w:rsidRDefault="008F060A" w:rsidP="008F060A">
            <w:pPr>
              <w:spacing w:after="0" w:line="240" w:lineRule="auto"/>
              <w:jc w:val="center"/>
              <w:rPr>
                <w:rFonts w:ascii="Calibri" w:eastAsia="Times New Roman" w:hAnsi="Calibri" w:cs="Calibri"/>
                <w:b/>
                <w:bCs/>
                <w:color w:val="000000"/>
                <w:sz w:val="24"/>
                <w:szCs w:val="24"/>
                <w:lang w:eastAsia="en-GB"/>
              </w:rPr>
            </w:pPr>
            <w:r w:rsidRPr="008F060A">
              <w:rPr>
                <w:rFonts w:ascii="Calibri" w:eastAsia="Times New Roman" w:hAnsi="Calibri" w:cs="Calibri"/>
                <w:b/>
                <w:bCs/>
                <w:color w:val="000000"/>
                <w:sz w:val="24"/>
                <w:szCs w:val="24"/>
                <w:lang w:eastAsia="en-GB"/>
              </w:rPr>
              <w:t xml:space="preserve">Party Response </w:t>
            </w:r>
          </w:p>
        </w:tc>
        <w:tc>
          <w:tcPr>
            <w:tcW w:w="1984" w:type="dxa"/>
            <w:tcBorders>
              <w:top w:val="single" w:sz="4" w:space="0" w:color="auto"/>
              <w:left w:val="nil"/>
              <w:bottom w:val="single" w:sz="4" w:space="0" w:color="auto"/>
              <w:right w:val="single" w:sz="4" w:space="0" w:color="auto"/>
            </w:tcBorders>
            <w:shd w:val="clear" w:color="auto" w:fill="auto"/>
            <w:hideMark/>
          </w:tcPr>
          <w:p w14:paraId="1CE747A8" w14:textId="77777777" w:rsidR="008F060A" w:rsidRPr="008F060A" w:rsidRDefault="008F060A" w:rsidP="008F060A">
            <w:pPr>
              <w:spacing w:after="0" w:line="240" w:lineRule="auto"/>
              <w:jc w:val="center"/>
              <w:rPr>
                <w:rFonts w:ascii="Calibri" w:eastAsia="Times New Roman" w:hAnsi="Calibri" w:cs="Calibri"/>
                <w:b/>
                <w:bCs/>
                <w:color w:val="000000"/>
                <w:sz w:val="24"/>
                <w:szCs w:val="24"/>
                <w:lang w:eastAsia="en-GB"/>
              </w:rPr>
            </w:pPr>
            <w:r w:rsidRPr="008F060A">
              <w:rPr>
                <w:rFonts w:ascii="Calibri" w:eastAsia="Times New Roman" w:hAnsi="Calibri" w:cs="Calibri"/>
                <w:b/>
                <w:bCs/>
                <w:color w:val="000000"/>
                <w:sz w:val="24"/>
                <w:szCs w:val="24"/>
                <w:lang w:eastAsia="en-GB"/>
              </w:rPr>
              <w:t xml:space="preserve">Action </w:t>
            </w:r>
          </w:p>
        </w:tc>
        <w:tc>
          <w:tcPr>
            <w:tcW w:w="1559" w:type="dxa"/>
            <w:tcBorders>
              <w:top w:val="single" w:sz="4" w:space="0" w:color="auto"/>
              <w:left w:val="nil"/>
              <w:bottom w:val="single" w:sz="4" w:space="0" w:color="auto"/>
              <w:right w:val="single" w:sz="4" w:space="0" w:color="auto"/>
            </w:tcBorders>
            <w:shd w:val="clear" w:color="auto" w:fill="auto"/>
            <w:hideMark/>
          </w:tcPr>
          <w:p w14:paraId="6FB4CAE6" w14:textId="77777777" w:rsidR="008F060A" w:rsidRPr="008F060A" w:rsidRDefault="008F060A" w:rsidP="008F060A">
            <w:pPr>
              <w:spacing w:after="0" w:line="240" w:lineRule="auto"/>
              <w:rPr>
                <w:rFonts w:ascii="Calibri" w:eastAsia="Times New Roman" w:hAnsi="Calibri" w:cs="Calibri"/>
                <w:b/>
                <w:bCs/>
                <w:color w:val="000000"/>
                <w:lang w:eastAsia="en-GB"/>
              </w:rPr>
            </w:pPr>
            <w:r w:rsidRPr="008F060A">
              <w:rPr>
                <w:rFonts w:ascii="Calibri" w:eastAsia="Times New Roman" w:hAnsi="Calibri" w:cs="Calibri"/>
                <w:b/>
                <w:bCs/>
                <w:color w:val="000000"/>
                <w:lang w:eastAsia="en-GB"/>
              </w:rPr>
              <w:t>Update</w:t>
            </w:r>
          </w:p>
        </w:tc>
      </w:tr>
      <w:tr w:rsidR="008F060A" w:rsidRPr="008F060A" w14:paraId="58B32EA0" w14:textId="77777777" w:rsidTr="008F060A">
        <w:trPr>
          <w:trHeight w:val="400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A8B8034" w14:textId="77777777" w:rsidR="008F060A" w:rsidRPr="008F060A" w:rsidRDefault="008F060A" w:rsidP="008F060A">
            <w:pPr>
              <w:spacing w:after="0" w:line="240" w:lineRule="auto"/>
              <w:jc w:val="center"/>
              <w:rPr>
                <w:rFonts w:ascii="Calibri" w:eastAsia="Times New Roman" w:hAnsi="Calibri" w:cs="Calibri"/>
                <w:color w:val="000000"/>
                <w:lang w:eastAsia="en-GB"/>
              </w:rPr>
            </w:pPr>
            <w:r w:rsidRPr="008F060A">
              <w:rPr>
                <w:rFonts w:ascii="Calibri" w:eastAsia="Times New Roman" w:hAnsi="Calibri" w:cs="Calibri"/>
                <w:color w:val="000000"/>
                <w:lang w:eastAsia="en-GB"/>
              </w:rPr>
              <w:t>1</w:t>
            </w:r>
          </w:p>
        </w:tc>
        <w:tc>
          <w:tcPr>
            <w:tcW w:w="3440" w:type="dxa"/>
            <w:tcBorders>
              <w:top w:val="single" w:sz="4" w:space="0" w:color="auto"/>
              <w:left w:val="nil"/>
              <w:bottom w:val="single" w:sz="4" w:space="0" w:color="auto"/>
              <w:right w:val="single" w:sz="4" w:space="0" w:color="auto"/>
            </w:tcBorders>
            <w:shd w:val="clear" w:color="auto" w:fill="auto"/>
            <w:hideMark/>
          </w:tcPr>
          <w:p w14:paraId="04C249F9"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 xml:space="preserve">Do you agree with the Working Group to bill the Primary supplier based on gross metered data from the boundary settlement meter for shared metering arrangements in preference to each supplier based on the fully settled solutions suggested in the first </w:t>
            </w:r>
            <w:proofErr w:type="gramStart"/>
            <w:r w:rsidRPr="008F060A">
              <w:rPr>
                <w:rFonts w:ascii="Calibri" w:eastAsia="Times New Roman" w:hAnsi="Calibri" w:cs="Calibri"/>
                <w:color w:val="000000"/>
                <w:lang w:eastAsia="en-GB"/>
              </w:rPr>
              <w:t>consultation.</w:t>
            </w:r>
            <w:proofErr w:type="gramEnd"/>
            <w:r w:rsidRPr="008F060A">
              <w:rPr>
                <w:rFonts w:ascii="Calibri" w:eastAsia="Times New Roman" w:hAnsi="Calibri" w:cs="Calibri"/>
                <w:color w:val="000000"/>
                <w:lang w:eastAsia="en-GB"/>
              </w:rPr>
              <w:t xml:space="preserve"> Please provide your rationale in the response.</w:t>
            </w:r>
          </w:p>
        </w:tc>
        <w:tc>
          <w:tcPr>
            <w:tcW w:w="1379" w:type="dxa"/>
            <w:tcBorders>
              <w:top w:val="single" w:sz="4" w:space="0" w:color="auto"/>
              <w:left w:val="nil"/>
              <w:bottom w:val="single" w:sz="4" w:space="0" w:color="auto"/>
              <w:right w:val="single" w:sz="4" w:space="0" w:color="auto"/>
            </w:tcBorders>
            <w:shd w:val="clear" w:color="auto" w:fill="auto"/>
            <w:hideMark/>
          </w:tcPr>
          <w:p w14:paraId="2C9C8B55"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UK Power Networks</w:t>
            </w:r>
          </w:p>
        </w:tc>
        <w:tc>
          <w:tcPr>
            <w:tcW w:w="4962" w:type="dxa"/>
            <w:tcBorders>
              <w:top w:val="single" w:sz="4" w:space="0" w:color="auto"/>
              <w:left w:val="nil"/>
              <w:bottom w:val="single" w:sz="4" w:space="0" w:color="auto"/>
              <w:right w:val="single" w:sz="4" w:space="0" w:color="auto"/>
            </w:tcBorders>
            <w:shd w:val="clear" w:color="000000" w:fill="FFFFFF"/>
            <w:hideMark/>
          </w:tcPr>
          <w:p w14:paraId="0C9A065C"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 xml:space="preserve">We have concerns regarding this approach, as we have historically received feedback from DCs that they are not able to provide such data, it would be worth obtaining appropriate and up to date feedback from both HH as well as NHH DCs to confirm that they are comfortable with this approach. This solution would require creating MPANs, that the appropriate DC would need to be aware of, including where the DC appointment changes, which would require further revision of the Legal Text. We believe that the DNO should be allowed to estimate HH data based upon the agreed MICs. All Settlement MPANs for both the boundary and inset customers would also need an LLFC which is assigned to a zero tariff to ensure no double charging existed. </w:t>
            </w:r>
          </w:p>
        </w:tc>
        <w:tc>
          <w:tcPr>
            <w:tcW w:w="1984" w:type="dxa"/>
            <w:tcBorders>
              <w:top w:val="single" w:sz="4" w:space="0" w:color="auto"/>
              <w:left w:val="nil"/>
              <w:bottom w:val="single" w:sz="4" w:space="0" w:color="auto"/>
              <w:right w:val="single" w:sz="4" w:space="0" w:color="auto"/>
            </w:tcBorders>
            <w:shd w:val="clear" w:color="auto" w:fill="auto"/>
            <w:hideMark/>
          </w:tcPr>
          <w:p w14:paraId="0BF2C008"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Secretariat to explore this issue further with UKPN.</w:t>
            </w:r>
          </w:p>
        </w:tc>
        <w:tc>
          <w:tcPr>
            <w:tcW w:w="1559" w:type="dxa"/>
            <w:tcBorders>
              <w:top w:val="single" w:sz="4" w:space="0" w:color="auto"/>
              <w:left w:val="nil"/>
              <w:bottom w:val="single" w:sz="4" w:space="0" w:color="auto"/>
              <w:right w:val="single" w:sz="4" w:space="0" w:color="auto"/>
            </w:tcBorders>
            <w:shd w:val="clear" w:color="auto" w:fill="auto"/>
            <w:hideMark/>
          </w:tcPr>
          <w:p w14:paraId="51E387D7" w14:textId="77777777" w:rsid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Ongoing</w:t>
            </w:r>
          </w:p>
          <w:p w14:paraId="29946B07" w14:textId="77777777" w:rsidR="006B0493" w:rsidRDefault="006B0493" w:rsidP="008F060A">
            <w:pPr>
              <w:spacing w:after="0" w:line="240" w:lineRule="auto"/>
              <w:rPr>
                <w:rFonts w:ascii="Calibri" w:eastAsia="Times New Roman" w:hAnsi="Calibri" w:cs="Calibri"/>
                <w:color w:val="000000"/>
                <w:lang w:eastAsia="en-GB"/>
              </w:rPr>
            </w:pPr>
          </w:p>
          <w:p w14:paraId="7ABDA6C1" w14:textId="5E7C7E11" w:rsidR="006B0493" w:rsidRPr="008F060A" w:rsidRDefault="006B0493" w:rsidP="008F060A">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 xml:space="preserve">Concerns were raised from more than 1 Party that they would not be able to do this. No concern if comfortable that it works elsewhere.  </w:t>
            </w:r>
          </w:p>
        </w:tc>
      </w:tr>
      <w:tr w:rsidR="008F060A" w:rsidRPr="008F060A" w14:paraId="5BEC03F0" w14:textId="77777777" w:rsidTr="00EF4830">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6D109B58" w14:textId="77777777" w:rsidR="008F060A" w:rsidRPr="008F060A" w:rsidRDefault="008F060A" w:rsidP="008F060A">
            <w:pPr>
              <w:spacing w:after="0" w:line="240" w:lineRule="auto"/>
              <w:jc w:val="center"/>
              <w:rPr>
                <w:rFonts w:ascii="Calibri" w:eastAsia="Times New Roman" w:hAnsi="Calibri" w:cs="Calibri"/>
                <w:color w:val="000000"/>
                <w:lang w:eastAsia="en-GB"/>
              </w:rPr>
            </w:pPr>
            <w:r w:rsidRPr="008F060A">
              <w:rPr>
                <w:rFonts w:ascii="Calibri" w:eastAsia="Times New Roman" w:hAnsi="Calibri" w:cs="Calibri"/>
                <w:color w:val="000000"/>
                <w:lang w:eastAsia="en-GB"/>
              </w:rPr>
              <w:t>2</w:t>
            </w:r>
          </w:p>
        </w:tc>
        <w:tc>
          <w:tcPr>
            <w:tcW w:w="3440" w:type="dxa"/>
            <w:vMerge w:val="restart"/>
            <w:tcBorders>
              <w:top w:val="single" w:sz="4" w:space="0" w:color="auto"/>
              <w:left w:val="nil"/>
              <w:right w:val="single" w:sz="4" w:space="0" w:color="auto"/>
            </w:tcBorders>
            <w:shd w:val="clear" w:color="auto" w:fill="auto"/>
            <w:hideMark/>
          </w:tcPr>
          <w:p w14:paraId="31247C66" w14:textId="77777777" w:rsidR="008F060A" w:rsidRPr="008F060A" w:rsidRDefault="008F060A" w:rsidP="008F060A">
            <w:pPr>
              <w:spacing w:after="0" w:line="240" w:lineRule="auto"/>
              <w:rPr>
                <w:rFonts w:ascii="Calibri" w:eastAsia="Times New Roman" w:hAnsi="Calibri" w:cs="Calibri"/>
                <w:color w:val="000000"/>
                <w:lang w:eastAsia="en-GB"/>
              </w:rPr>
            </w:pPr>
            <w:bookmarkStart w:id="0" w:name="RANGE!B3"/>
            <w:r w:rsidRPr="008F060A">
              <w:rPr>
                <w:rFonts w:ascii="Calibri" w:eastAsia="Times New Roman" w:hAnsi="Calibri" w:cs="Calibri"/>
                <w:color w:val="000000"/>
                <w:lang w:eastAsia="en-GB"/>
              </w:rPr>
              <w:t>Which metering data option to you prefer? Please provide your rationale, including any cost impacts.</w:t>
            </w:r>
            <w:bookmarkEnd w:id="0"/>
          </w:p>
        </w:tc>
        <w:tc>
          <w:tcPr>
            <w:tcW w:w="1379" w:type="dxa"/>
            <w:tcBorders>
              <w:top w:val="single" w:sz="4" w:space="0" w:color="auto"/>
              <w:left w:val="nil"/>
              <w:bottom w:val="single" w:sz="4" w:space="0" w:color="auto"/>
              <w:right w:val="single" w:sz="4" w:space="0" w:color="auto"/>
            </w:tcBorders>
            <w:shd w:val="clear" w:color="auto" w:fill="auto"/>
            <w:hideMark/>
          </w:tcPr>
          <w:p w14:paraId="5FC53197"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SPEN</w:t>
            </w:r>
          </w:p>
        </w:tc>
        <w:tc>
          <w:tcPr>
            <w:tcW w:w="4962" w:type="dxa"/>
            <w:tcBorders>
              <w:top w:val="single" w:sz="4" w:space="0" w:color="auto"/>
              <w:left w:val="nil"/>
              <w:bottom w:val="single" w:sz="4" w:space="0" w:color="auto"/>
              <w:right w:val="single" w:sz="4" w:space="0" w:color="auto"/>
            </w:tcBorders>
            <w:shd w:val="clear" w:color="auto" w:fill="auto"/>
            <w:hideMark/>
          </w:tcPr>
          <w:p w14:paraId="6D7E18EF" w14:textId="77777777" w:rsid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long response relating to the costs of each option</w:t>
            </w:r>
            <w:r>
              <w:rPr>
                <w:rFonts w:ascii="Calibri" w:eastAsia="Times New Roman" w:hAnsi="Calibri" w:cs="Calibri"/>
                <w:color w:val="000000"/>
                <w:lang w:eastAsia="en-GB"/>
              </w:rPr>
              <w:t>. (</w:t>
            </w:r>
            <w:proofErr w:type="gramStart"/>
            <w:r>
              <w:rPr>
                <w:rFonts w:ascii="Calibri" w:eastAsia="Times New Roman" w:hAnsi="Calibri" w:cs="Calibri"/>
                <w:color w:val="000000"/>
                <w:lang w:eastAsia="en-GB"/>
              </w:rPr>
              <w:t>see</w:t>
            </w:r>
            <w:proofErr w:type="gramEnd"/>
            <w:r>
              <w:rPr>
                <w:rFonts w:ascii="Calibri" w:eastAsia="Times New Roman" w:hAnsi="Calibri" w:cs="Calibri"/>
                <w:color w:val="000000"/>
                <w:lang w:eastAsia="en-GB"/>
              </w:rPr>
              <w:t xml:space="preserve"> appendix)</w:t>
            </w:r>
          </w:p>
          <w:p w14:paraId="3074DB4B" w14:textId="77777777" w:rsidR="008F060A" w:rsidRDefault="008F060A" w:rsidP="008F060A">
            <w:pPr>
              <w:spacing w:after="0" w:line="240" w:lineRule="auto"/>
              <w:rPr>
                <w:rFonts w:ascii="Calibri" w:eastAsia="Times New Roman" w:hAnsi="Calibri" w:cs="Calibri"/>
                <w:color w:val="000000"/>
                <w:lang w:eastAsia="en-GB"/>
              </w:rPr>
            </w:pPr>
          </w:p>
          <w:p w14:paraId="798FCFFE" w14:textId="0B6FC618" w:rsidR="008F060A" w:rsidRDefault="008F060A"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xml:space="preserve">in summary for those distributors using </w:t>
            </w:r>
            <w:r w:rsidRPr="00CE3059">
              <w:rPr>
                <w:rFonts w:eastAsia="Times New Roman" w:cstheme="minorHAnsi"/>
                <w:color w:val="000000"/>
                <w:lang w:eastAsia="en-GB"/>
              </w:rPr>
              <w:t xml:space="preserve">DURABILL </w:t>
            </w:r>
            <w:r>
              <w:rPr>
                <w:rFonts w:ascii="Calibri" w:eastAsia="Times New Roman" w:hAnsi="Calibri" w:cs="Calibri"/>
                <w:color w:val="000000"/>
                <w:lang w:eastAsia="en-GB"/>
              </w:rPr>
              <w:t xml:space="preserve">– Option 1 – no </w:t>
            </w:r>
            <w:proofErr w:type="gramStart"/>
            <w:r>
              <w:rPr>
                <w:rFonts w:ascii="Calibri" w:eastAsia="Times New Roman" w:hAnsi="Calibri" w:cs="Calibri"/>
                <w:color w:val="000000"/>
                <w:lang w:eastAsia="en-GB"/>
              </w:rPr>
              <w:t>IT ,</w:t>
            </w:r>
            <w:proofErr w:type="gramEnd"/>
            <w:r>
              <w:rPr>
                <w:rFonts w:ascii="Calibri" w:eastAsia="Times New Roman" w:hAnsi="Calibri" w:cs="Calibri"/>
                <w:color w:val="000000"/>
                <w:lang w:eastAsia="en-GB"/>
              </w:rPr>
              <w:t xml:space="preserve"> minimal operational cost</w:t>
            </w:r>
          </w:p>
          <w:p w14:paraId="14132F08" w14:textId="68F9FA0A" w:rsidR="008F060A" w:rsidRDefault="008F060A"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xml:space="preserve">option 2 - </w:t>
            </w:r>
            <w:r w:rsidR="00A00998">
              <w:rPr>
                <w:rFonts w:ascii="Calibri" w:eastAsia="Times New Roman" w:hAnsi="Calibri" w:cs="Calibri"/>
                <w:color w:val="000000"/>
                <w:lang w:eastAsia="en-GB"/>
              </w:rPr>
              <w:t>£400k IT developer costs plus distributor testing, implementation and reporting costs.</w:t>
            </w:r>
          </w:p>
          <w:p w14:paraId="7CBE79E4" w14:textId="77777777" w:rsidR="00A00998" w:rsidRDefault="00A00998" w:rsidP="008F060A">
            <w:pPr>
              <w:spacing w:after="0" w:line="240" w:lineRule="auto"/>
              <w:rPr>
                <w:rFonts w:ascii="Calibri" w:eastAsia="Times New Roman" w:hAnsi="Calibri" w:cs="Calibri"/>
                <w:color w:val="000000"/>
                <w:lang w:eastAsia="en-GB"/>
              </w:rPr>
            </w:pPr>
          </w:p>
          <w:p w14:paraId="2B0C5436" w14:textId="0C3F154D" w:rsidR="00A00998" w:rsidRPr="008F060A" w:rsidRDefault="00A00998"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source data for Option 1 will change post MHHS SCR</w:t>
            </w:r>
          </w:p>
        </w:tc>
        <w:tc>
          <w:tcPr>
            <w:tcW w:w="1984" w:type="dxa"/>
            <w:tcBorders>
              <w:top w:val="single" w:sz="4" w:space="0" w:color="auto"/>
              <w:left w:val="nil"/>
              <w:bottom w:val="single" w:sz="4" w:space="0" w:color="auto"/>
              <w:right w:val="single" w:sz="4" w:space="0" w:color="auto"/>
            </w:tcBorders>
            <w:shd w:val="clear" w:color="auto" w:fill="auto"/>
            <w:hideMark/>
          </w:tcPr>
          <w:p w14:paraId="130753BE" w14:textId="77777777" w:rsidR="008F060A" w:rsidRP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Working Group noted the useful information provided and will extract relevant parts for the change report.</w:t>
            </w:r>
          </w:p>
        </w:tc>
        <w:tc>
          <w:tcPr>
            <w:tcW w:w="1559" w:type="dxa"/>
            <w:tcBorders>
              <w:top w:val="single" w:sz="4" w:space="0" w:color="auto"/>
              <w:left w:val="nil"/>
              <w:bottom w:val="single" w:sz="4" w:space="0" w:color="auto"/>
              <w:right w:val="single" w:sz="4" w:space="0" w:color="auto"/>
            </w:tcBorders>
            <w:shd w:val="clear" w:color="auto" w:fill="auto"/>
            <w:hideMark/>
          </w:tcPr>
          <w:p w14:paraId="55BEEDE8" w14:textId="77777777" w:rsidR="008F060A" w:rsidRDefault="008F060A" w:rsidP="008F060A">
            <w:pPr>
              <w:spacing w:after="0" w:line="240" w:lineRule="auto"/>
              <w:rPr>
                <w:rFonts w:ascii="Calibri" w:eastAsia="Times New Roman" w:hAnsi="Calibri" w:cs="Calibri"/>
                <w:color w:val="000000"/>
                <w:lang w:eastAsia="en-GB"/>
              </w:rPr>
            </w:pPr>
            <w:r w:rsidRPr="008F060A">
              <w:rPr>
                <w:rFonts w:ascii="Calibri" w:eastAsia="Times New Roman" w:hAnsi="Calibri" w:cs="Calibri"/>
                <w:color w:val="000000"/>
                <w:lang w:eastAsia="en-GB"/>
              </w:rPr>
              <w:t xml:space="preserve">Ongoing </w:t>
            </w:r>
          </w:p>
          <w:p w14:paraId="27EF4F38" w14:textId="353DCCED" w:rsidR="006B0493" w:rsidRDefault="006B0493" w:rsidP="008F060A">
            <w:pPr>
              <w:spacing w:after="0" w:line="240" w:lineRule="auto"/>
              <w:rPr>
                <w:rFonts w:ascii="Calibri" w:eastAsia="Times New Roman" w:hAnsi="Calibri" w:cs="Calibri"/>
                <w:color w:val="000000"/>
                <w:lang w:eastAsia="en-GB"/>
              </w:rPr>
            </w:pPr>
          </w:p>
          <w:p w14:paraId="1EEB80D5" w14:textId="680D56B6" w:rsidR="00E0587B" w:rsidRPr="009D25A1" w:rsidRDefault="00E0587B" w:rsidP="008F060A">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Happy to progress with Option 1 based on a majority decision.</w:t>
            </w:r>
          </w:p>
          <w:p w14:paraId="1B245560" w14:textId="18B9B8B2" w:rsidR="006B0493" w:rsidRPr="008F060A" w:rsidRDefault="006B0493" w:rsidP="008F060A">
            <w:pPr>
              <w:spacing w:after="0" w:line="240" w:lineRule="auto"/>
              <w:rPr>
                <w:rFonts w:ascii="Calibri" w:eastAsia="Times New Roman" w:hAnsi="Calibri" w:cs="Calibri"/>
                <w:color w:val="000000"/>
                <w:lang w:eastAsia="en-GB"/>
              </w:rPr>
            </w:pPr>
          </w:p>
        </w:tc>
      </w:tr>
      <w:tr w:rsidR="008F060A" w:rsidRPr="008F060A" w14:paraId="10B3D44A" w14:textId="77777777" w:rsidTr="00EF4830">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EC1D1CC" w14:textId="43C506AA" w:rsidR="008F060A" w:rsidRPr="008F060A" w:rsidRDefault="008F060A" w:rsidP="008F060A">
            <w:pPr>
              <w:spacing w:after="0" w:line="240" w:lineRule="auto"/>
              <w:jc w:val="center"/>
              <w:rPr>
                <w:rFonts w:ascii="Calibri" w:eastAsia="Times New Roman" w:hAnsi="Calibri" w:cs="Calibri"/>
                <w:color w:val="000000"/>
                <w:lang w:eastAsia="en-GB"/>
              </w:rPr>
            </w:pPr>
          </w:p>
        </w:tc>
        <w:tc>
          <w:tcPr>
            <w:tcW w:w="3440" w:type="dxa"/>
            <w:vMerge/>
            <w:tcBorders>
              <w:left w:val="nil"/>
              <w:right w:val="single" w:sz="4" w:space="0" w:color="auto"/>
            </w:tcBorders>
            <w:shd w:val="clear" w:color="auto" w:fill="auto"/>
          </w:tcPr>
          <w:p w14:paraId="0C9A4DB7" w14:textId="77777777" w:rsidR="008F060A" w:rsidRPr="008F060A" w:rsidRDefault="008F060A" w:rsidP="008F060A">
            <w:pPr>
              <w:spacing w:after="0" w:line="240" w:lineRule="auto"/>
              <w:rPr>
                <w:rFonts w:ascii="Calibri" w:eastAsia="Times New Roman" w:hAnsi="Calibri" w:cs="Calibri"/>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16A41E5B" w14:textId="2A17EFFE" w:rsidR="008F060A" w:rsidRPr="008F060A" w:rsidRDefault="008F060A" w:rsidP="008F060A">
            <w:pPr>
              <w:spacing w:after="0" w:line="240" w:lineRule="auto"/>
              <w:rPr>
                <w:rFonts w:ascii="Calibri" w:eastAsia="Times New Roman" w:hAnsi="Calibri" w:cs="Calibri"/>
                <w:color w:val="000000"/>
                <w:lang w:eastAsia="en-GB"/>
              </w:rPr>
            </w:pPr>
            <w:r w:rsidRPr="00CE3059">
              <w:rPr>
                <w:rFonts w:eastAsia="Times New Roman" w:cstheme="minorHAnsi"/>
                <w:color w:val="000000"/>
                <w:lang w:eastAsia="en-GB"/>
              </w:rPr>
              <w:t>The Electricity Network Company Limited</w:t>
            </w:r>
          </w:p>
        </w:tc>
        <w:tc>
          <w:tcPr>
            <w:tcW w:w="4962" w:type="dxa"/>
            <w:tcBorders>
              <w:top w:val="single" w:sz="4" w:space="0" w:color="auto"/>
              <w:left w:val="nil"/>
              <w:bottom w:val="single" w:sz="4" w:space="0" w:color="auto"/>
              <w:right w:val="single" w:sz="4" w:space="0" w:color="auto"/>
            </w:tcBorders>
            <w:shd w:val="clear" w:color="auto" w:fill="auto"/>
          </w:tcPr>
          <w:p w14:paraId="1EC955E8" w14:textId="77777777" w:rsidR="008F060A" w:rsidRPr="00CE3059" w:rsidRDefault="008F060A" w:rsidP="008F060A">
            <w:pPr>
              <w:spacing w:after="120"/>
              <w:rPr>
                <w:rFonts w:eastAsia="Times New Roman" w:cstheme="minorHAnsi"/>
                <w:color w:val="000000"/>
                <w:lang w:eastAsia="en-GB"/>
              </w:rPr>
            </w:pPr>
            <w:r w:rsidRPr="00CE3059">
              <w:rPr>
                <w:rFonts w:eastAsia="Times New Roman" w:cstheme="minorHAnsi"/>
                <w:color w:val="000000"/>
                <w:lang w:eastAsia="en-GB"/>
              </w:rPr>
              <w:t xml:space="preserve">We believe the first option, for the boundary or primary supplier to be provided with a non-settlement MPAN against which they will submit data to the distributor in respect of the gross consumption at the boundary is the most viable. This </w:t>
            </w:r>
            <w:r w:rsidRPr="00CE3059">
              <w:rPr>
                <w:rFonts w:eastAsia="Times New Roman" w:cstheme="minorHAnsi"/>
                <w:color w:val="000000"/>
                <w:lang w:eastAsia="en-GB"/>
              </w:rPr>
              <w:lastRenderedPageBreak/>
              <w:t xml:space="preserve">is likely to be the least cost solution as we would need to make changes to our billing system to facilitate the solution under option 2. We are not, at this stage, able to quantify those costs but if the working group requires this assessment to determine the most cost reflective </w:t>
            </w:r>
            <w:proofErr w:type="gramStart"/>
            <w:r w:rsidRPr="00CE3059">
              <w:rPr>
                <w:rFonts w:eastAsia="Times New Roman" w:cstheme="minorHAnsi"/>
                <w:color w:val="000000"/>
                <w:lang w:eastAsia="en-GB"/>
              </w:rPr>
              <w:t>solution</w:t>
            </w:r>
            <w:proofErr w:type="gramEnd"/>
            <w:r w:rsidRPr="00CE3059">
              <w:rPr>
                <w:rFonts w:eastAsia="Times New Roman" w:cstheme="minorHAnsi"/>
                <w:color w:val="000000"/>
                <w:lang w:eastAsia="en-GB"/>
              </w:rPr>
              <w:t xml:space="preserve"> then we would be willing to provide it at a later stage.</w:t>
            </w:r>
          </w:p>
          <w:p w14:paraId="2CF161AD" w14:textId="77777777" w:rsidR="008F060A" w:rsidRPr="00CE3059" w:rsidRDefault="008F060A" w:rsidP="008F060A">
            <w:pPr>
              <w:spacing w:after="120"/>
              <w:rPr>
                <w:rFonts w:eastAsia="Times New Roman" w:cstheme="minorHAnsi"/>
                <w:color w:val="000000"/>
                <w:lang w:eastAsia="en-GB"/>
              </w:rPr>
            </w:pPr>
            <w:r w:rsidRPr="00CE3059">
              <w:rPr>
                <w:rFonts w:eastAsia="Times New Roman" w:cstheme="minorHAnsi"/>
                <w:color w:val="000000"/>
                <w:lang w:eastAsia="en-GB"/>
              </w:rPr>
              <w:t>As we have indicated in our response to question 1, there is no licence obligation on IDNOs to offer MPAS in respect of metering points not connected to their distribution system.  Therefore, it would for IDNOs to choose if they wanted to offer such service.  Offering such service would be dependent on IDNOs being able to recover their costs.</w:t>
            </w:r>
          </w:p>
          <w:p w14:paraId="312D375E" w14:textId="433CECC2" w:rsidR="008F060A" w:rsidRPr="008F060A" w:rsidRDefault="008F060A" w:rsidP="008F060A">
            <w:pPr>
              <w:spacing w:after="0" w:line="240" w:lineRule="auto"/>
              <w:rPr>
                <w:rFonts w:ascii="Calibri" w:eastAsia="Times New Roman" w:hAnsi="Calibri" w:cs="Calibri"/>
                <w:color w:val="000000"/>
                <w:lang w:eastAsia="en-GB"/>
              </w:rPr>
            </w:pPr>
            <w:r w:rsidRPr="00CE3059">
              <w:rPr>
                <w:rFonts w:eastAsia="Times New Roman" w:cstheme="minorHAnsi"/>
                <w:color w:val="000000"/>
                <w:lang w:eastAsia="en-GB"/>
              </w:rPr>
              <w:t>Notwithstanding the above, one approach would be to use a default LLFC for such metering points and to set the tariff to zero, or to such other charge to recover the additional costs for providing services to the licence exempt network</w:t>
            </w:r>
          </w:p>
        </w:tc>
        <w:tc>
          <w:tcPr>
            <w:tcW w:w="1984" w:type="dxa"/>
            <w:tcBorders>
              <w:top w:val="single" w:sz="4" w:space="0" w:color="auto"/>
              <w:left w:val="nil"/>
              <w:bottom w:val="single" w:sz="4" w:space="0" w:color="auto"/>
              <w:right w:val="single" w:sz="4" w:space="0" w:color="auto"/>
            </w:tcBorders>
            <w:shd w:val="clear" w:color="auto" w:fill="auto"/>
          </w:tcPr>
          <w:p w14:paraId="4119534C" w14:textId="77777777" w:rsidR="008F060A" w:rsidRDefault="008F060A" w:rsidP="008F060A">
            <w:pPr>
              <w:pStyle w:val="BodyTextNoSpacing"/>
              <w:rPr>
                <w:rFonts w:asciiTheme="minorHAnsi" w:hAnsiTheme="minorHAnsi" w:cstheme="minorHAnsi"/>
                <w:sz w:val="22"/>
                <w:szCs w:val="22"/>
              </w:rPr>
            </w:pPr>
            <w:r>
              <w:rPr>
                <w:rFonts w:asciiTheme="minorHAnsi" w:hAnsiTheme="minorHAnsi" w:cstheme="minorHAnsi"/>
                <w:sz w:val="22"/>
                <w:szCs w:val="22"/>
              </w:rPr>
              <w:lastRenderedPageBreak/>
              <w:t>Preference for option 1</w:t>
            </w:r>
          </w:p>
          <w:p w14:paraId="039D4EF3" w14:textId="77777777" w:rsidR="008F060A" w:rsidRDefault="008F060A" w:rsidP="008F060A">
            <w:pPr>
              <w:pStyle w:val="BodyTextNoSpacing"/>
              <w:rPr>
                <w:rFonts w:asciiTheme="minorHAnsi" w:hAnsiTheme="minorHAnsi" w:cstheme="minorHAnsi"/>
                <w:sz w:val="22"/>
                <w:szCs w:val="22"/>
              </w:rPr>
            </w:pPr>
          </w:p>
          <w:p w14:paraId="44EA6691" w14:textId="77777777" w:rsidR="008F060A" w:rsidRDefault="008F060A" w:rsidP="008F060A">
            <w:pPr>
              <w:pStyle w:val="BodyTextNoSpacing"/>
              <w:rPr>
                <w:rFonts w:asciiTheme="minorHAnsi" w:hAnsiTheme="minorHAnsi" w:cstheme="minorHAnsi"/>
                <w:sz w:val="22"/>
                <w:szCs w:val="22"/>
              </w:rPr>
            </w:pPr>
          </w:p>
          <w:p w14:paraId="6F6D9B8B" w14:textId="77777777" w:rsidR="008F060A" w:rsidRDefault="008F060A" w:rsidP="008F060A">
            <w:pPr>
              <w:pStyle w:val="BodyTextNoSpacing"/>
              <w:rPr>
                <w:rFonts w:asciiTheme="minorHAnsi" w:hAnsiTheme="minorHAnsi" w:cstheme="minorHAnsi"/>
                <w:sz w:val="22"/>
                <w:szCs w:val="22"/>
              </w:rPr>
            </w:pPr>
          </w:p>
          <w:p w14:paraId="5AF51FA7" w14:textId="39125B1D" w:rsidR="008F060A" w:rsidRDefault="008F060A" w:rsidP="008F060A">
            <w:pPr>
              <w:pStyle w:val="BodyTextNoSpacing"/>
              <w:rPr>
                <w:rFonts w:asciiTheme="minorHAnsi" w:hAnsiTheme="minorHAnsi" w:cstheme="minorHAnsi"/>
                <w:sz w:val="22"/>
                <w:szCs w:val="22"/>
              </w:rPr>
            </w:pPr>
          </w:p>
          <w:p w14:paraId="103E3025" w14:textId="3CC9AF4B" w:rsidR="008F060A" w:rsidRDefault="008F060A" w:rsidP="008F060A">
            <w:pPr>
              <w:pStyle w:val="BodyTextNoSpacing"/>
              <w:rPr>
                <w:rFonts w:asciiTheme="minorHAnsi" w:hAnsiTheme="minorHAnsi" w:cstheme="minorHAnsi"/>
                <w:sz w:val="22"/>
                <w:szCs w:val="22"/>
              </w:rPr>
            </w:pPr>
          </w:p>
          <w:p w14:paraId="20569E66" w14:textId="360773D7" w:rsidR="008F060A" w:rsidRDefault="008F060A" w:rsidP="008F060A">
            <w:pPr>
              <w:pStyle w:val="BodyTextNoSpacing"/>
              <w:rPr>
                <w:rFonts w:asciiTheme="minorHAnsi" w:hAnsiTheme="minorHAnsi" w:cstheme="minorHAnsi"/>
                <w:sz w:val="22"/>
                <w:szCs w:val="22"/>
              </w:rPr>
            </w:pPr>
          </w:p>
          <w:p w14:paraId="56F3CF34" w14:textId="6E9702DA" w:rsidR="008F060A" w:rsidRDefault="008F060A" w:rsidP="008F060A">
            <w:pPr>
              <w:pStyle w:val="BodyTextNoSpacing"/>
              <w:rPr>
                <w:rFonts w:asciiTheme="minorHAnsi" w:hAnsiTheme="minorHAnsi" w:cstheme="minorHAnsi"/>
                <w:sz w:val="22"/>
                <w:szCs w:val="22"/>
              </w:rPr>
            </w:pPr>
            <w:r>
              <w:rPr>
                <w:rFonts w:asciiTheme="minorHAnsi" w:hAnsiTheme="minorHAnsi" w:cstheme="minorHAnsi"/>
                <w:sz w:val="22"/>
                <w:szCs w:val="22"/>
              </w:rPr>
              <w:t>Note suggestion to provide costs for option 2</w:t>
            </w:r>
          </w:p>
          <w:p w14:paraId="3940C719" w14:textId="0522CDF9" w:rsidR="008F060A" w:rsidRDefault="008F060A" w:rsidP="008F060A">
            <w:pPr>
              <w:pStyle w:val="BodyTextNoSpacing"/>
              <w:rPr>
                <w:rFonts w:asciiTheme="minorHAnsi" w:hAnsiTheme="minorHAnsi" w:cstheme="minorHAnsi"/>
                <w:sz w:val="22"/>
                <w:szCs w:val="22"/>
              </w:rPr>
            </w:pPr>
          </w:p>
          <w:p w14:paraId="23446C4D" w14:textId="12FB8B36" w:rsidR="008F060A" w:rsidRDefault="008F060A" w:rsidP="008F060A">
            <w:pPr>
              <w:pStyle w:val="BodyTextNoSpacing"/>
              <w:rPr>
                <w:rFonts w:asciiTheme="minorHAnsi" w:hAnsiTheme="minorHAnsi" w:cstheme="minorHAnsi"/>
                <w:sz w:val="22"/>
                <w:szCs w:val="22"/>
              </w:rPr>
            </w:pPr>
          </w:p>
          <w:p w14:paraId="571843CC" w14:textId="77777777" w:rsidR="008F060A" w:rsidRDefault="008F060A" w:rsidP="008F060A">
            <w:pPr>
              <w:pStyle w:val="BodyTextNoSpacing"/>
              <w:rPr>
                <w:rFonts w:asciiTheme="minorHAnsi" w:hAnsiTheme="minorHAnsi" w:cstheme="minorHAnsi"/>
                <w:sz w:val="22"/>
                <w:szCs w:val="22"/>
              </w:rPr>
            </w:pPr>
          </w:p>
          <w:p w14:paraId="08CC22C3" w14:textId="77777777" w:rsidR="008F060A" w:rsidRDefault="008F060A" w:rsidP="008F060A">
            <w:pPr>
              <w:pStyle w:val="BodyTextNoSpacing"/>
              <w:rPr>
                <w:rFonts w:asciiTheme="minorHAnsi" w:hAnsiTheme="minorHAnsi" w:cstheme="minorHAnsi"/>
                <w:sz w:val="22"/>
                <w:szCs w:val="22"/>
              </w:rPr>
            </w:pPr>
          </w:p>
          <w:p w14:paraId="1A5E4532" w14:textId="77777777" w:rsidR="008F060A" w:rsidRDefault="008F060A" w:rsidP="008F060A">
            <w:pPr>
              <w:pStyle w:val="BodyTextNoSpacing"/>
              <w:rPr>
                <w:rFonts w:asciiTheme="minorHAnsi" w:hAnsiTheme="minorHAnsi" w:cstheme="minorHAnsi"/>
                <w:sz w:val="22"/>
                <w:szCs w:val="22"/>
              </w:rPr>
            </w:pPr>
          </w:p>
          <w:p w14:paraId="2EB1CE5E" w14:textId="2D91450A" w:rsidR="008F060A" w:rsidRPr="008F060A" w:rsidRDefault="008F060A" w:rsidP="008F060A">
            <w:pPr>
              <w:spacing w:after="0" w:line="240" w:lineRule="auto"/>
              <w:rPr>
                <w:rFonts w:ascii="Calibri" w:eastAsia="Times New Roman" w:hAnsi="Calibri" w:cs="Calibri"/>
                <w:color w:val="000000"/>
                <w:lang w:eastAsia="en-GB"/>
              </w:rPr>
            </w:pPr>
            <w:r>
              <w:rPr>
                <w:rFonts w:cstheme="minorHAnsi"/>
              </w:rPr>
              <w:t xml:space="preserve">Notes the points raised </w:t>
            </w:r>
            <w:proofErr w:type="gramStart"/>
            <w:r>
              <w:rPr>
                <w:rFonts w:cstheme="minorHAnsi"/>
              </w:rPr>
              <w:t>in regards to</w:t>
            </w:r>
            <w:proofErr w:type="gramEnd"/>
            <w:r>
              <w:rPr>
                <w:rFonts w:cstheme="minorHAnsi"/>
              </w:rPr>
              <w:t xml:space="preserve"> IDNOs and MPAS, specifically the lack of ability to </w:t>
            </w:r>
            <w:r w:rsidRPr="00CE3059">
              <w:rPr>
                <w:rFonts w:eastAsia="Times New Roman" w:cstheme="minorHAnsi"/>
                <w:color w:val="000000"/>
                <w:lang w:eastAsia="en-GB"/>
              </w:rPr>
              <w:t>recover their costs.</w:t>
            </w:r>
          </w:p>
        </w:tc>
        <w:tc>
          <w:tcPr>
            <w:tcW w:w="1559" w:type="dxa"/>
            <w:tcBorders>
              <w:top w:val="single" w:sz="4" w:space="0" w:color="auto"/>
              <w:left w:val="nil"/>
              <w:bottom w:val="single" w:sz="4" w:space="0" w:color="auto"/>
              <w:right w:val="single" w:sz="4" w:space="0" w:color="auto"/>
            </w:tcBorders>
            <w:shd w:val="clear" w:color="auto" w:fill="auto"/>
          </w:tcPr>
          <w:p w14:paraId="6AE0F80C" w14:textId="77777777" w:rsidR="008F060A" w:rsidRDefault="008F060A"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lastRenderedPageBreak/>
              <w:t>Ongoing</w:t>
            </w:r>
          </w:p>
          <w:p w14:paraId="2965F294" w14:textId="77777777" w:rsidR="006B0493" w:rsidRDefault="006B0493" w:rsidP="008F060A">
            <w:pPr>
              <w:spacing w:after="0" w:line="240" w:lineRule="auto"/>
              <w:rPr>
                <w:rFonts w:ascii="Calibri" w:eastAsia="Times New Roman" w:hAnsi="Calibri" w:cs="Calibri"/>
                <w:color w:val="000000"/>
                <w:lang w:eastAsia="en-GB"/>
              </w:rPr>
            </w:pPr>
          </w:p>
          <w:p w14:paraId="7646AEFB" w14:textId="5398D666" w:rsidR="006B0493" w:rsidRPr="008F060A" w:rsidRDefault="006B0493" w:rsidP="008F060A">
            <w:pPr>
              <w:spacing w:after="0" w:line="240" w:lineRule="auto"/>
              <w:rPr>
                <w:rFonts w:ascii="Calibri" w:eastAsia="Times New Roman" w:hAnsi="Calibri" w:cs="Calibri"/>
                <w:color w:val="000000"/>
                <w:lang w:eastAsia="en-GB"/>
              </w:rPr>
            </w:pPr>
          </w:p>
        </w:tc>
      </w:tr>
      <w:tr w:rsidR="008F060A" w:rsidRPr="008F060A" w14:paraId="4E7F74C8" w14:textId="77777777" w:rsidTr="00EF4830">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786AF23" w14:textId="789D8EC8" w:rsidR="008F060A" w:rsidRDefault="008F060A" w:rsidP="008F060A">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64F9B9B7" w14:textId="77777777" w:rsidR="008F060A" w:rsidRPr="008F060A" w:rsidRDefault="008F060A" w:rsidP="008F060A">
            <w:pPr>
              <w:spacing w:after="0" w:line="240" w:lineRule="auto"/>
              <w:rPr>
                <w:rFonts w:ascii="Calibri" w:eastAsia="Times New Roman" w:hAnsi="Calibri" w:cs="Calibri"/>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5B567FD0" w14:textId="60736B64" w:rsidR="008F060A" w:rsidRPr="00CE3059" w:rsidRDefault="008F060A" w:rsidP="008F060A">
            <w:pPr>
              <w:spacing w:after="0" w:line="240" w:lineRule="auto"/>
              <w:rPr>
                <w:rFonts w:eastAsia="Times New Roman" w:cstheme="minorHAnsi"/>
                <w:color w:val="000000"/>
                <w:lang w:eastAsia="en-GB"/>
              </w:rPr>
            </w:pPr>
            <w:r w:rsidRPr="008F060A">
              <w:rPr>
                <w:rFonts w:ascii="Calibri" w:eastAsia="Times New Roman" w:hAnsi="Calibri" w:cs="Calibri"/>
                <w:color w:val="000000"/>
                <w:lang w:eastAsia="en-GB"/>
              </w:rPr>
              <w:t>UK Power Networks</w:t>
            </w:r>
          </w:p>
        </w:tc>
        <w:tc>
          <w:tcPr>
            <w:tcW w:w="4962" w:type="dxa"/>
            <w:tcBorders>
              <w:top w:val="single" w:sz="4" w:space="0" w:color="auto"/>
              <w:left w:val="nil"/>
              <w:bottom w:val="single" w:sz="4" w:space="0" w:color="auto"/>
              <w:right w:val="single" w:sz="4" w:space="0" w:color="auto"/>
            </w:tcBorders>
            <w:shd w:val="clear" w:color="auto" w:fill="auto"/>
          </w:tcPr>
          <w:p w14:paraId="59098A68" w14:textId="77777777" w:rsidR="008F060A" w:rsidRPr="00CE3059" w:rsidRDefault="008F060A" w:rsidP="008F060A">
            <w:pPr>
              <w:spacing w:after="120"/>
              <w:rPr>
                <w:rFonts w:eastAsia="Times New Roman" w:cstheme="minorHAnsi"/>
                <w:color w:val="000000"/>
                <w:lang w:eastAsia="en-GB"/>
              </w:rPr>
            </w:pPr>
            <w:r w:rsidRPr="00CE3059">
              <w:rPr>
                <w:rFonts w:eastAsia="Times New Roman" w:cstheme="minorHAnsi"/>
                <w:color w:val="000000"/>
                <w:lang w:eastAsia="en-GB"/>
              </w:rPr>
              <w:t xml:space="preserve">Of the two options proposed we support option 1 for how metering data is treated, this utilises existing arrangements and minimises total cost to industry, although any changes brought about by this change would need to be watched when any changes necessary for MHHS are taken forward. As stated in the consultation document option 2 would result to system changes and costs to Distributors which would not be required with option 1. </w:t>
            </w:r>
          </w:p>
          <w:p w14:paraId="207242B4" w14:textId="5E0FAF11" w:rsidR="008F060A" w:rsidRPr="00CE3059" w:rsidRDefault="008F060A" w:rsidP="008F060A">
            <w:pPr>
              <w:spacing w:after="120"/>
              <w:rPr>
                <w:rFonts w:eastAsia="Times New Roman" w:cstheme="minorHAnsi"/>
                <w:color w:val="000000"/>
                <w:lang w:eastAsia="en-GB"/>
              </w:rPr>
            </w:pPr>
            <w:r w:rsidRPr="00CE3059">
              <w:rPr>
                <w:rFonts w:eastAsia="Times New Roman" w:cstheme="minorHAnsi"/>
                <w:color w:val="000000"/>
                <w:lang w:eastAsia="en-GB"/>
              </w:rPr>
              <w:t xml:space="preserve">In the small number of Private </w:t>
            </w:r>
            <w:proofErr w:type="gramStart"/>
            <w:r w:rsidRPr="00CE3059">
              <w:rPr>
                <w:rFonts w:eastAsia="Times New Roman" w:cstheme="minorHAnsi"/>
                <w:color w:val="000000"/>
                <w:lang w:eastAsia="en-GB"/>
              </w:rPr>
              <w:t>Networks</w:t>
            </w:r>
            <w:proofErr w:type="gramEnd"/>
            <w:r w:rsidRPr="00CE3059">
              <w:rPr>
                <w:rFonts w:eastAsia="Times New Roman" w:cstheme="minorHAnsi"/>
                <w:color w:val="000000"/>
                <w:lang w:eastAsia="en-GB"/>
              </w:rPr>
              <w:t xml:space="preserve"> we have connected to our networks we utilise an approach </w:t>
            </w:r>
            <w:r w:rsidRPr="00CE3059">
              <w:rPr>
                <w:rFonts w:eastAsia="Times New Roman" w:cstheme="minorHAnsi"/>
                <w:color w:val="000000"/>
                <w:lang w:eastAsia="en-GB"/>
              </w:rPr>
              <w:lastRenderedPageBreak/>
              <w:t>where we apply the fixed and capacity charges to the boundary and the units split between the boundary and inset customers based upon where they have been consumed, although this isn’t perfect and is not without issues it does allow an relatively effective approach which results in limited manual intervention.</w:t>
            </w:r>
          </w:p>
        </w:tc>
        <w:tc>
          <w:tcPr>
            <w:tcW w:w="1984" w:type="dxa"/>
            <w:tcBorders>
              <w:top w:val="single" w:sz="4" w:space="0" w:color="auto"/>
              <w:left w:val="nil"/>
              <w:bottom w:val="single" w:sz="4" w:space="0" w:color="auto"/>
              <w:right w:val="single" w:sz="4" w:space="0" w:color="auto"/>
            </w:tcBorders>
            <w:shd w:val="clear" w:color="auto" w:fill="auto"/>
          </w:tcPr>
          <w:p w14:paraId="3502113E" w14:textId="77777777" w:rsidR="008F060A" w:rsidRDefault="008F060A" w:rsidP="008F060A">
            <w:pPr>
              <w:pStyle w:val="BodyTextNoSpacing"/>
              <w:rPr>
                <w:rFonts w:asciiTheme="minorHAnsi" w:hAnsiTheme="minorHAnsi" w:cstheme="minorHAnsi"/>
                <w:sz w:val="22"/>
                <w:szCs w:val="22"/>
              </w:rPr>
            </w:pPr>
            <w:r>
              <w:rPr>
                <w:rFonts w:asciiTheme="minorHAnsi" w:hAnsiTheme="minorHAnsi" w:cstheme="minorHAnsi"/>
                <w:sz w:val="22"/>
                <w:szCs w:val="22"/>
              </w:rPr>
              <w:lastRenderedPageBreak/>
              <w:t>Preference for option 1</w:t>
            </w:r>
          </w:p>
          <w:p w14:paraId="2B5C46B9" w14:textId="77777777" w:rsidR="008F060A" w:rsidRDefault="008F060A" w:rsidP="008F060A">
            <w:pPr>
              <w:pStyle w:val="BodyTextNoSpacing"/>
              <w:rPr>
                <w:rFonts w:asciiTheme="minorHAnsi" w:hAnsiTheme="minorHAnsi" w:cstheme="minorHAnsi"/>
                <w:sz w:val="22"/>
                <w:szCs w:val="22"/>
              </w:rPr>
            </w:pPr>
          </w:p>
          <w:p w14:paraId="0E1200D3" w14:textId="77777777" w:rsidR="008F060A" w:rsidRDefault="008F060A" w:rsidP="008F060A">
            <w:pPr>
              <w:pStyle w:val="BodyTextNoSpacing"/>
              <w:rPr>
                <w:rFonts w:asciiTheme="minorHAnsi" w:hAnsiTheme="minorHAnsi" w:cstheme="minorHAnsi"/>
                <w:sz w:val="22"/>
                <w:szCs w:val="22"/>
              </w:rPr>
            </w:pPr>
          </w:p>
          <w:p w14:paraId="63B65B6B" w14:textId="77777777" w:rsidR="008F060A" w:rsidRDefault="008F060A" w:rsidP="008F060A">
            <w:pPr>
              <w:pStyle w:val="BodyTextNoSpacing"/>
              <w:rPr>
                <w:rFonts w:asciiTheme="minorHAnsi" w:hAnsiTheme="minorHAnsi" w:cstheme="minorHAnsi"/>
                <w:sz w:val="22"/>
                <w:szCs w:val="22"/>
              </w:rPr>
            </w:pPr>
          </w:p>
          <w:p w14:paraId="65DDFD9F" w14:textId="77777777" w:rsidR="008F060A" w:rsidRDefault="008F060A" w:rsidP="008F060A">
            <w:pPr>
              <w:pStyle w:val="BodyTextNoSpacing"/>
              <w:rPr>
                <w:rFonts w:asciiTheme="minorHAnsi" w:hAnsiTheme="minorHAnsi" w:cstheme="minorHAnsi"/>
                <w:sz w:val="22"/>
                <w:szCs w:val="22"/>
              </w:rPr>
            </w:pPr>
          </w:p>
          <w:p w14:paraId="1057B03B" w14:textId="77777777" w:rsidR="008F060A" w:rsidRDefault="008F060A" w:rsidP="008F060A">
            <w:pPr>
              <w:pStyle w:val="BodyTextNoSpacing"/>
              <w:rPr>
                <w:rFonts w:asciiTheme="minorHAnsi" w:hAnsiTheme="minorHAnsi" w:cstheme="minorHAnsi"/>
                <w:sz w:val="22"/>
                <w:szCs w:val="22"/>
              </w:rPr>
            </w:pPr>
          </w:p>
          <w:p w14:paraId="5A75BBB2" w14:textId="0F107764" w:rsidR="008F060A" w:rsidRDefault="008F060A" w:rsidP="008F060A">
            <w:pPr>
              <w:pStyle w:val="BodyTextNoSpacing"/>
              <w:rPr>
                <w:rFonts w:asciiTheme="minorHAnsi" w:hAnsiTheme="minorHAnsi" w:cstheme="minorHAnsi"/>
                <w:sz w:val="22"/>
                <w:szCs w:val="22"/>
              </w:rPr>
            </w:pPr>
            <w:r>
              <w:rPr>
                <w:rFonts w:asciiTheme="minorHAnsi" w:hAnsiTheme="minorHAnsi" w:cstheme="minorHAnsi"/>
                <w:sz w:val="22"/>
                <w:szCs w:val="22"/>
              </w:rPr>
              <w:t xml:space="preserve">Notes the </w:t>
            </w:r>
            <w:r w:rsidRPr="00CE3059">
              <w:rPr>
                <w:rFonts w:asciiTheme="minorHAnsi" w:eastAsia="Times New Roman" w:hAnsiTheme="minorHAnsi" w:cstheme="minorHAnsi"/>
                <w:color w:val="000000"/>
                <w:sz w:val="22"/>
                <w:szCs w:val="22"/>
                <w:lang w:eastAsia="en-GB"/>
              </w:rPr>
              <w:t>approach</w:t>
            </w:r>
            <w:r>
              <w:rPr>
                <w:rFonts w:asciiTheme="minorHAnsi" w:eastAsia="Times New Roman" w:hAnsiTheme="minorHAnsi" w:cstheme="minorHAnsi"/>
                <w:color w:val="000000"/>
                <w:sz w:val="22"/>
                <w:szCs w:val="22"/>
                <w:lang w:eastAsia="en-GB"/>
              </w:rPr>
              <w:t xml:space="preserve"> set out by this respondent and will consider further if other </w:t>
            </w:r>
            <w:r>
              <w:rPr>
                <w:rFonts w:asciiTheme="minorHAnsi" w:eastAsia="Times New Roman" w:hAnsiTheme="minorHAnsi" w:cstheme="minorHAnsi"/>
                <w:color w:val="000000"/>
                <w:sz w:val="22"/>
                <w:szCs w:val="22"/>
                <w:lang w:eastAsia="en-GB"/>
              </w:rPr>
              <w:lastRenderedPageBreak/>
              <w:t>options aren’t supported. This was the alternative option for DCP 158a raised by ENWL.</w:t>
            </w:r>
          </w:p>
        </w:tc>
        <w:tc>
          <w:tcPr>
            <w:tcW w:w="1559" w:type="dxa"/>
            <w:tcBorders>
              <w:top w:val="single" w:sz="4" w:space="0" w:color="auto"/>
              <w:left w:val="nil"/>
              <w:bottom w:val="single" w:sz="4" w:space="0" w:color="auto"/>
              <w:right w:val="single" w:sz="4" w:space="0" w:color="auto"/>
            </w:tcBorders>
            <w:shd w:val="clear" w:color="auto" w:fill="auto"/>
          </w:tcPr>
          <w:p w14:paraId="71AE805D" w14:textId="09373F9B" w:rsidR="008F060A" w:rsidRDefault="00F50D63" w:rsidP="008F060A">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lastRenderedPageBreak/>
              <w:t xml:space="preserve">Not looking to progress as an alternate solution. </w:t>
            </w:r>
          </w:p>
        </w:tc>
      </w:tr>
      <w:tr w:rsidR="008F060A" w:rsidRPr="008F060A" w14:paraId="6D9BB593" w14:textId="77777777" w:rsidTr="008F060A">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3F0F5A" w14:textId="67084828" w:rsidR="001D74CB" w:rsidRPr="001D74CB" w:rsidRDefault="001D74CB" w:rsidP="001D74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3</w:t>
            </w:r>
          </w:p>
        </w:tc>
        <w:tc>
          <w:tcPr>
            <w:tcW w:w="3440" w:type="dxa"/>
            <w:tcBorders>
              <w:top w:val="single" w:sz="4" w:space="0" w:color="auto"/>
              <w:left w:val="nil"/>
              <w:bottom w:val="single" w:sz="4" w:space="0" w:color="auto"/>
              <w:right w:val="single" w:sz="4" w:space="0" w:color="auto"/>
            </w:tcBorders>
            <w:shd w:val="clear" w:color="auto" w:fill="auto"/>
          </w:tcPr>
          <w:p w14:paraId="643CDDC3" w14:textId="6B6D54E3" w:rsidR="008F060A" w:rsidRPr="008F060A" w:rsidRDefault="00A00998" w:rsidP="008F060A">
            <w:pPr>
              <w:spacing w:after="0" w:line="240" w:lineRule="auto"/>
              <w:rPr>
                <w:rFonts w:ascii="Calibri" w:eastAsia="Times New Roman" w:hAnsi="Calibri" w:cs="Calibri"/>
                <w:color w:val="000000"/>
                <w:lang w:eastAsia="en-GB"/>
              </w:rPr>
            </w:pPr>
            <w:r w:rsidRPr="00A00998">
              <w:rPr>
                <w:rFonts w:ascii="Calibri" w:eastAsia="Times New Roman" w:hAnsi="Calibri" w:cs="Calibri"/>
                <w:color w:val="000000"/>
                <w:lang w:eastAsia="en-GB"/>
              </w:rPr>
              <w:t>Do you have any comments on the EDCM solution?</w:t>
            </w:r>
          </w:p>
        </w:tc>
        <w:tc>
          <w:tcPr>
            <w:tcW w:w="1379" w:type="dxa"/>
            <w:tcBorders>
              <w:top w:val="single" w:sz="4" w:space="0" w:color="auto"/>
              <w:left w:val="nil"/>
              <w:bottom w:val="single" w:sz="4" w:space="0" w:color="auto"/>
              <w:right w:val="single" w:sz="4" w:space="0" w:color="auto"/>
            </w:tcBorders>
            <w:shd w:val="clear" w:color="auto" w:fill="auto"/>
          </w:tcPr>
          <w:p w14:paraId="0E147B87" w14:textId="31D57DA7" w:rsidR="008F060A" w:rsidRPr="008F060A" w:rsidRDefault="00A00998"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ENWL</w:t>
            </w:r>
          </w:p>
        </w:tc>
        <w:tc>
          <w:tcPr>
            <w:tcW w:w="4962" w:type="dxa"/>
            <w:tcBorders>
              <w:top w:val="single" w:sz="4" w:space="0" w:color="auto"/>
              <w:left w:val="nil"/>
              <w:bottom w:val="single" w:sz="4" w:space="0" w:color="auto"/>
              <w:right w:val="single" w:sz="4" w:space="0" w:color="auto"/>
            </w:tcBorders>
            <w:shd w:val="clear" w:color="auto" w:fill="auto"/>
          </w:tcPr>
          <w:p w14:paraId="42D39CEB" w14:textId="50B612E5" w:rsidR="008F060A" w:rsidRPr="00CE3059" w:rsidRDefault="00A00998" w:rsidP="008F060A">
            <w:pPr>
              <w:spacing w:after="120"/>
              <w:rPr>
                <w:rFonts w:eastAsia="Times New Roman" w:cstheme="minorHAnsi"/>
                <w:color w:val="000000"/>
                <w:lang w:eastAsia="en-GB"/>
              </w:rPr>
            </w:pPr>
            <w:bookmarkStart w:id="1" w:name="_Hlk80106916"/>
            <w:r w:rsidRPr="00CE3059">
              <w:rPr>
                <w:rFonts w:eastAsia="Times New Roman" w:cstheme="minorHAnsi"/>
                <w:color w:val="000000"/>
                <w:lang w:eastAsia="en-GB"/>
              </w:rPr>
              <w:t>Any solution that alters the overall charge to a PNO in comparison with an equivalent customer with a single meter is not acceptable. Furthermore, Solution A appears to create a difference in the structure of charges (and potentially the actual PNO customer bill) for fully settled metering arrangements between the CDCM and EDCM, which could lead to distortions in competition or changes in customer behaviour.</w:t>
            </w:r>
            <w:bookmarkEnd w:id="1"/>
          </w:p>
        </w:tc>
        <w:tc>
          <w:tcPr>
            <w:tcW w:w="1984" w:type="dxa"/>
            <w:tcBorders>
              <w:top w:val="single" w:sz="4" w:space="0" w:color="auto"/>
              <w:left w:val="nil"/>
              <w:bottom w:val="single" w:sz="4" w:space="0" w:color="auto"/>
              <w:right w:val="single" w:sz="4" w:space="0" w:color="auto"/>
            </w:tcBorders>
            <w:shd w:val="clear" w:color="auto" w:fill="auto"/>
          </w:tcPr>
          <w:p w14:paraId="4B37CA06" w14:textId="0C486BE3" w:rsidR="008F060A" w:rsidRDefault="00A00998" w:rsidP="008F060A">
            <w:pPr>
              <w:pStyle w:val="BodyTextNoSpacing"/>
              <w:rPr>
                <w:rFonts w:asciiTheme="minorHAnsi" w:hAnsiTheme="minorHAnsi" w:cstheme="minorHAnsi"/>
                <w:sz w:val="22"/>
                <w:szCs w:val="22"/>
              </w:rPr>
            </w:pPr>
            <w:r>
              <w:rPr>
                <w:rFonts w:asciiTheme="minorHAnsi" w:hAnsiTheme="minorHAnsi" w:cstheme="minorHAnsi"/>
                <w:sz w:val="22"/>
                <w:szCs w:val="22"/>
              </w:rPr>
              <w:t>Noted – Secretariat to speak to ENWL for further details.</w:t>
            </w:r>
          </w:p>
        </w:tc>
        <w:tc>
          <w:tcPr>
            <w:tcW w:w="1559" w:type="dxa"/>
            <w:tcBorders>
              <w:top w:val="single" w:sz="4" w:space="0" w:color="auto"/>
              <w:left w:val="nil"/>
              <w:bottom w:val="single" w:sz="4" w:space="0" w:color="auto"/>
              <w:right w:val="single" w:sz="4" w:space="0" w:color="auto"/>
            </w:tcBorders>
            <w:shd w:val="clear" w:color="auto" w:fill="auto"/>
          </w:tcPr>
          <w:p w14:paraId="364E1C2D" w14:textId="03E749B0" w:rsidR="008F060A" w:rsidRDefault="006A76B0"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TBC</w:t>
            </w:r>
          </w:p>
        </w:tc>
      </w:tr>
      <w:tr w:rsidR="00C37B68" w:rsidRPr="008F060A" w14:paraId="179CFB7A" w14:textId="77777777" w:rsidTr="00932522">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36F8ADE" w14:textId="62365328" w:rsidR="00C37B68" w:rsidRDefault="001D74CB" w:rsidP="008F060A">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4</w:t>
            </w:r>
          </w:p>
        </w:tc>
        <w:tc>
          <w:tcPr>
            <w:tcW w:w="3440" w:type="dxa"/>
            <w:vMerge w:val="restart"/>
            <w:tcBorders>
              <w:top w:val="single" w:sz="4" w:space="0" w:color="auto"/>
              <w:left w:val="nil"/>
              <w:right w:val="single" w:sz="4" w:space="0" w:color="auto"/>
            </w:tcBorders>
            <w:shd w:val="clear" w:color="auto" w:fill="auto"/>
          </w:tcPr>
          <w:p w14:paraId="392F2643" w14:textId="029E9DF4" w:rsidR="00C37B68" w:rsidRPr="00A00998" w:rsidRDefault="00C37B68" w:rsidP="008F060A">
            <w:pPr>
              <w:spacing w:after="0" w:line="240" w:lineRule="auto"/>
              <w:rPr>
                <w:rFonts w:ascii="Calibri" w:eastAsia="Times New Roman" w:hAnsi="Calibri" w:cs="Calibri"/>
                <w:color w:val="000000"/>
                <w:lang w:eastAsia="en-GB"/>
              </w:rPr>
            </w:pPr>
            <w:r w:rsidRPr="00CE3059">
              <w:rPr>
                <w:rFonts w:eastAsia="Times New Roman" w:cstheme="minorHAnsi"/>
                <w:bCs/>
                <w:color w:val="000000"/>
                <w:lang w:eastAsia="en-GB"/>
              </w:rPr>
              <w:t>Do you have any comments on the rebate solution?</w:t>
            </w:r>
          </w:p>
        </w:tc>
        <w:tc>
          <w:tcPr>
            <w:tcW w:w="1379" w:type="dxa"/>
            <w:tcBorders>
              <w:top w:val="single" w:sz="4" w:space="0" w:color="auto"/>
              <w:left w:val="nil"/>
              <w:bottom w:val="single" w:sz="4" w:space="0" w:color="auto"/>
              <w:right w:val="single" w:sz="4" w:space="0" w:color="auto"/>
            </w:tcBorders>
            <w:shd w:val="clear" w:color="auto" w:fill="auto"/>
          </w:tcPr>
          <w:p w14:paraId="60DBBA58" w14:textId="56A63B28" w:rsidR="00C37B68" w:rsidRDefault="00C37B68" w:rsidP="008F060A">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ESPN</w:t>
            </w:r>
          </w:p>
        </w:tc>
        <w:tc>
          <w:tcPr>
            <w:tcW w:w="4962" w:type="dxa"/>
            <w:tcBorders>
              <w:top w:val="single" w:sz="4" w:space="0" w:color="auto"/>
              <w:left w:val="nil"/>
              <w:bottom w:val="single" w:sz="4" w:space="0" w:color="auto"/>
              <w:right w:val="single" w:sz="4" w:space="0" w:color="auto"/>
            </w:tcBorders>
            <w:shd w:val="clear" w:color="auto" w:fill="auto"/>
          </w:tcPr>
          <w:p w14:paraId="2E17F0A7" w14:textId="77777777" w:rsidR="00C37B68" w:rsidRPr="00E21E07" w:rsidRDefault="00C37B68" w:rsidP="00A00998">
            <w:pPr>
              <w:spacing w:after="120"/>
              <w:rPr>
                <w:rFonts w:eastAsia="Times New Roman" w:cstheme="minorHAnsi"/>
                <w:color w:val="000000"/>
                <w:lang w:eastAsia="en-GB"/>
              </w:rPr>
            </w:pPr>
            <w:r w:rsidRPr="00E21E07">
              <w:rPr>
                <w:rFonts w:eastAsia="Times New Roman" w:cstheme="minorHAnsi"/>
                <w:color w:val="000000"/>
                <w:lang w:eastAsia="en-GB"/>
              </w:rPr>
              <w:t>We have some concerns on the rebate solution.</w:t>
            </w:r>
          </w:p>
          <w:p w14:paraId="67780929" w14:textId="77777777" w:rsidR="00C37B68" w:rsidRPr="00E21E07" w:rsidRDefault="00C37B68" w:rsidP="00A00998">
            <w:pPr>
              <w:spacing w:after="120"/>
              <w:rPr>
                <w:rFonts w:eastAsia="Times New Roman" w:cstheme="minorHAnsi"/>
                <w:color w:val="000000"/>
                <w:lang w:eastAsia="en-GB"/>
              </w:rPr>
            </w:pPr>
            <w:r w:rsidRPr="00E21E07">
              <w:rPr>
                <w:rFonts w:eastAsia="Times New Roman" w:cstheme="minorHAnsi"/>
                <w:color w:val="000000"/>
                <w:lang w:eastAsia="en-GB"/>
              </w:rPr>
              <w:t xml:space="preserve">Firstly, PNOs are not a party to DCUSA. Implementing a formal process for charging of </w:t>
            </w:r>
            <w:proofErr w:type="spellStart"/>
            <w:r w:rsidRPr="00E21E07">
              <w:rPr>
                <w:rFonts w:eastAsia="Times New Roman" w:cstheme="minorHAnsi"/>
                <w:color w:val="000000"/>
                <w:lang w:eastAsia="en-GB"/>
              </w:rPr>
              <w:t>UoS</w:t>
            </w:r>
            <w:proofErr w:type="spellEnd"/>
            <w:r w:rsidRPr="00E21E07">
              <w:rPr>
                <w:rFonts w:eastAsia="Times New Roman" w:cstheme="minorHAnsi"/>
                <w:color w:val="000000"/>
                <w:lang w:eastAsia="en-GB"/>
              </w:rPr>
              <w:t xml:space="preserve"> charges is more involved that network unavailability payments referred in the consultation – particularly as the chances of disputes for charging are likely to be higher and it is unclear whether PNOs would simply be treated as regular customers for the purpose of the DCUSA dispute process.</w:t>
            </w:r>
          </w:p>
          <w:p w14:paraId="6888B249" w14:textId="03046994" w:rsidR="00C37B68" w:rsidRPr="00CE3059" w:rsidRDefault="00C37B68" w:rsidP="00A00998">
            <w:pPr>
              <w:spacing w:after="120"/>
              <w:rPr>
                <w:rFonts w:eastAsia="Times New Roman" w:cstheme="minorHAnsi"/>
                <w:color w:val="000000"/>
                <w:lang w:eastAsia="en-GB"/>
              </w:rPr>
            </w:pPr>
            <w:r w:rsidRPr="00E21E07">
              <w:rPr>
                <w:rFonts w:eastAsia="Times New Roman" w:cstheme="minorHAnsi"/>
                <w:color w:val="000000"/>
                <w:lang w:val="id-ID" w:eastAsia="en-GB"/>
              </w:rPr>
              <w:t xml:space="preserve">Secondly, while we recognise that any under or over recovery can be corrected in subsequent years, we question whether there is a positive trade-off for the </w:t>
            </w:r>
            <w:r w:rsidRPr="00E21E07">
              <w:rPr>
                <w:rFonts w:eastAsia="Times New Roman" w:cstheme="minorHAnsi"/>
                <w:color w:val="000000"/>
                <w:lang w:val="id-ID" w:eastAsia="en-GB"/>
              </w:rPr>
              <w:lastRenderedPageBreak/>
              <w:t>increased fluctuation to year-on-year charges compared to the tariff solution (Solution B).</w:t>
            </w:r>
          </w:p>
        </w:tc>
        <w:tc>
          <w:tcPr>
            <w:tcW w:w="1984" w:type="dxa"/>
            <w:tcBorders>
              <w:top w:val="single" w:sz="4" w:space="0" w:color="auto"/>
              <w:left w:val="nil"/>
              <w:bottom w:val="single" w:sz="4" w:space="0" w:color="auto"/>
              <w:right w:val="single" w:sz="4" w:space="0" w:color="auto"/>
            </w:tcBorders>
            <w:shd w:val="clear" w:color="auto" w:fill="auto"/>
          </w:tcPr>
          <w:p w14:paraId="45F07293" w14:textId="77777777" w:rsidR="00C37B68" w:rsidRDefault="00C37B68" w:rsidP="00A00998">
            <w:pPr>
              <w:pStyle w:val="BodyTextNoSpacing"/>
              <w:rPr>
                <w:rFonts w:asciiTheme="minorHAnsi" w:hAnsiTheme="minorHAnsi" w:cstheme="minorHAnsi"/>
                <w:sz w:val="22"/>
                <w:szCs w:val="22"/>
              </w:rPr>
            </w:pPr>
          </w:p>
          <w:p w14:paraId="17F7D2FA" w14:textId="60C37871" w:rsidR="00C37B68" w:rsidRPr="00E21E07" w:rsidRDefault="00C37B68" w:rsidP="00A00998">
            <w:pPr>
              <w:pStyle w:val="BodyTextNoSpacing"/>
              <w:rPr>
                <w:rFonts w:asciiTheme="minorHAnsi" w:eastAsia="Times New Roman" w:hAnsiTheme="minorHAnsi" w:cstheme="minorHAnsi"/>
                <w:color w:val="000000"/>
                <w:sz w:val="22"/>
                <w:szCs w:val="22"/>
                <w:lang w:eastAsia="en-GB"/>
              </w:rPr>
            </w:pPr>
            <w:r>
              <w:rPr>
                <w:rFonts w:asciiTheme="minorHAnsi" w:hAnsiTheme="minorHAnsi" w:cstheme="minorHAnsi"/>
                <w:sz w:val="22"/>
                <w:szCs w:val="22"/>
              </w:rPr>
              <w:t>Working Group</w:t>
            </w:r>
            <w:r w:rsidRPr="00E21E07">
              <w:rPr>
                <w:rFonts w:asciiTheme="minorHAnsi" w:hAnsiTheme="minorHAnsi" w:cstheme="minorHAnsi"/>
                <w:sz w:val="22"/>
                <w:szCs w:val="22"/>
              </w:rPr>
              <w:t xml:space="preserve"> note the concern around </w:t>
            </w:r>
            <w:r w:rsidRPr="00E21E07">
              <w:rPr>
                <w:rFonts w:asciiTheme="minorHAnsi" w:eastAsia="Times New Roman" w:hAnsiTheme="minorHAnsi" w:cstheme="minorHAnsi"/>
                <w:color w:val="000000"/>
                <w:sz w:val="22"/>
                <w:szCs w:val="22"/>
                <w:lang w:val="id-ID" w:eastAsia="en-GB"/>
              </w:rPr>
              <w:t>dispute process</w:t>
            </w:r>
            <w:r w:rsidRPr="00E21E07">
              <w:rPr>
                <w:rFonts w:asciiTheme="minorHAnsi" w:eastAsia="Times New Roman" w:hAnsiTheme="minorHAnsi" w:cstheme="minorHAnsi"/>
                <w:color w:val="000000"/>
                <w:sz w:val="22"/>
                <w:szCs w:val="22"/>
                <w:lang w:eastAsia="en-GB"/>
              </w:rPr>
              <w:t xml:space="preserve"> and has been mentioned in other responses </w:t>
            </w:r>
          </w:p>
          <w:p w14:paraId="19657A71" w14:textId="77777777" w:rsidR="00C37B68" w:rsidRPr="00E21E07" w:rsidRDefault="00C37B68" w:rsidP="00A00998">
            <w:pPr>
              <w:pStyle w:val="BodyTextNoSpacing"/>
              <w:rPr>
                <w:rFonts w:asciiTheme="minorHAnsi" w:eastAsia="Times New Roman" w:hAnsiTheme="minorHAnsi" w:cstheme="minorHAnsi"/>
                <w:color w:val="000000"/>
                <w:sz w:val="22"/>
                <w:szCs w:val="22"/>
                <w:lang w:eastAsia="en-GB"/>
              </w:rPr>
            </w:pPr>
          </w:p>
          <w:p w14:paraId="5F2C7F12" w14:textId="65170EAD" w:rsidR="00C37B68" w:rsidRDefault="00C37B68" w:rsidP="00A00998">
            <w:pPr>
              <w:pStyle w:val="BodyTextNoSpacing"/>
              <w:rPr>
                <w:rFonts w:asciiTheme="minorHAnsi" w:hAnsiTheme="minorHAnsi" w:cstheme="minorHAnsi"/>
                <w:sz w:val="22"/>
                <w:szCs w:val="22"/>
              </w:rPr>
            </w:pPr>
            <w:r>
              <w:rPr>
                <w:rFonts w:asciiTheme="minorHAnsi" w:hAnsiTheme="minorHAnsi" w:cstheme="minorHAnsi"/>
                <w:sz w:val="22"/>
                <w:szCs w:val="22"/>
              </w:rPr>
              <w:t>The Working Group will consider a dispute process if this solution is the preferred choice.</w:t>
            </w:r>
          </w:p>
        </w:tc>
        <w:tc>
          <w:tcPr>
            <w:tcW w:w="1559" w:type="dxa"/>
            <w:tcBorders>
              <w:top w:val="single" w:sz="4" w:space="0" w:color="auto"/>
              <w:left w:val="nil"/>
              <w:bottom w:val="single" w:sz="4" w:space="0" w:color="auto"/>
              <w:right w:val="single" w:sz="4" w:space="0" w:color="auto"/>
            </w:tcBorders>
            <w:shd w:val="clear" w:color="auto" w:fill="auto"/>
          </w:tcPr>
          <w:p w14:paraId="4913CC9A" w14:textId="61A4D4FE" w:rsidR="00C37B68" w:rsidRDefault="00C37B68" w:rsidP="008F060A">
            <w:pPr>
              <w:spacing w:after="0" w:line="240" w:lineRule="auto"/>
              <w:rPr>
                <w:rFonts w:ascii="Calibri" w:eastAsia="Times New Roman" w:hAnsi="Calibri" w:cs="Calibri"/>
                <w:color w:val="000000"/>
                <w:lang w:eastAsia="en-GB"/>
              </w:rPr>
            </w:pPr>
          </w:p>
        </w:tc>
      </w:tr>
      <w:tr w:rsidR="00C37B68" w:rsidRPr="008F060A" w14:paraId="01BB824C" w14:textId="77777777" w:rsidTr="00932522">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D07A5B3" w14:textId="4F9AA516" w:rsidR="00C37B68" w:rsidRDefault="00C37B68" w:rsidP="008B233C">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596CBFE2" w14:textId="77777777" w:rsidR="00C37B68" w:rsidRPr="00CE3059" w:rsidRDefault="00C37B68" w:rsidP="008B233C">
            <w:pPr>
              <w:spacing w:after="0" w:line="240" w:lineRule="auto"/>
              <w:rPr>
                <w:rFonts w:eastAsia="Times New Roman" w:cstheme="minorHAnsi"/>
                <w:bCs/>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3C0A24AF" w14:textId="5CCEFBDF" w:rsidR="00C37B68" w:rsidRDefault="00C37B68" w:rsidP="008B233C">
            <w:pPr>
              <w:spacing w:after="0" w:line="240" w:lineRule="auto"/>
              <w:rPr>
                <w:rFonts w:ascii="Calibri" w:eastAsia="Times New Roman" w:hAnsi="Calibri" w:cs="Calibri"/>
                <w:color w:val="000000"/>
                <w:lang w:eastAsia="en-GB"/>
              </w:rPr>
            </w:pPr>
            <w:r w:rsidRPr="00CE3059">
              <w:rPr>
                <w:rFonts w:eastAsia="Times New Roman" w:cstheme="minorHAnsi"/>
                <w:color w:val="000000"/>
                <w:lang w:eastAsia="en-GB"/>
              </w:rPr>
              <w:t xml:space="preserve">SP Energy Networks (SP Distribution &amp; SP </w:t>
            </w:r>
            <w:proofErr w:type="spellStart"/>
            <w:r w:rsidRPr="00CE3059">
              <w:rPr>
                <w:rFonts w:eastAsia="Times New Roman" w:cstheme="minorHAnsi"/>
                <w:color w:val="000000"/>
                <w:lang w:eastAsia="en-GB"/>
              </w:rPr>
              <w:t>Manweb</w:t>
            </w:r>
            <w:proofErr w:type="spellEnd"/>
            <w:r w:rsidRPr="00CE3059">
              <w:rPr>
                <w:rFonts w:eastAsia="Times New Roman" w:cstheme="minorHAnsi"/>
                <w:color w:val="000000"/>
                <w:lang w:eastAsia="en-GB"/>
              </w:rPr>
              <w:t>)</w:t>
            </w:r>
          </w:p>
        </w:tc>
        <w:tc>
          <w:tcPr>
            <w:tcW w:w="4962" w:type="dxa"/>
            <w:tcBorders>
              <w:top w:val="single" w:sz="4" w:space="0" w:color="auto"/>
              <w:left w:val="nil"/>
              <w:bottom w:val="single" w:sz="4" w:space="0" w:color="auto"/>
              <w:right w:val="single" w:sz="4" w:space="0" w:color="auto"/>
            </w:tcBorders>
            <w:shd w:val="clear" w:color="auto" w:fill="auto"/>
            <w:vAlign w:val="center"/>
          </w:tcPr>
          <w:p w14:paraId="1703FF90" w14:textId="77777777" w:rsidR="00C37B68" w:rsidRPr="00CE3059" w:rsidRDefault="00C37B68" w:rsidP="008B233C">
            <w:pPr>
              <w:spacing w:after="120"/>
              <w:rPr>
                <w:rFonts w:eastAsia="Times New Roman" w:cstheme="minorHAnsi"/>
                <w:color w:val="000000"/>
                <w:lang w:eastAsia="en-GB"/>
              </w:rPr>
            </w:pPr>
            <w:r w:rsidRPr="00CE3059">
              <w:rPr>
                <w:rFonts w:eastAsia="Times New Roman" w:cstheme="minorHAnsi"/>
                <w:color w:val="000000"/>
                <w:lang w:eastAsia="en-GB"/>
              </w:rPr>
              <w:t>Under solution A, PNOs would be able to claim a rebate from DNOs for the element of DUoS in respect of assets on their network.  This applies to fully settled systems only.</w:t>
            </w:r>
          </w:p>
          <w:p w14:paraId="0F6FE6E5" w14:textId="77777777" w:rsidR="00C37B68" w:rsidRPr="00CE3059" w:rsidRDefault="00C37B68" w:rsidP="008B233C">
            <w:pPr>
              <w:spacing w:after="120"/>
              <w:rPr>
                <w:rFonts w:eastAsia="Times New Roman" w:cstheme="minorHAnsi"/>
                <w:color w:val="000000"/>
                <w:lang w:eastAsia="en-GB"/>
              </w:rPr>
            </w:pPr>
            <w:r w:rsidRPr="00CE3059">
              <w:rPr>
                <w:rFonts w:eastAsia="Times New Roman" w:cstheme="minorHAnsi"/>
                <w:color w:val="000000"/>
                <w:lang w:eastAsia="en-GB"/>
              </w:rPr>
              <w:t xml:space="preserve">It is likely that DURABILL could be enhanced to calculate and produce the PNO credit. Costs for such a development would be in the region of £80,000 to £150,000 split between all DURABILL customers. </w:t>
            </w:r>
          </w:p>
          <w:p w14:paraId="52F99FC7" w14:textId="77777777" w:rsidR="00C37B68" w:rsidRPr="00CE3059" w:rsidRDefault="00C37B68" w:rsidP="008B233C">
            <w:pPr>
              <w:spacing w:after="120"/>
              <w:rPr>
                <w:rFonts w:eastAsia="Times New Roman" w:cstheme="minorHAnsi"/>
                <w:color w:val="000000"/>
                <w:lang w:eastAsia="en-GB"/>
              </w:rPr>
            </w:pPr>
            <w:r w:rsidRPr="00CE3059">
              <w:rPr>
                <w:rFonts w:eastAsia="Times New Roman" w:cstheme="minorHAnsi"/>
                <w:color w:val="000000"/>
                <w:lang w:eastAsia="en-GB"/>
              </w:rPr>
              <w:t xml:space="preserve">As well as the new processes required to calculate the rebate some changes to existing standing screens such as the MPAN registration and Maintain a Site screen are likely to be required. Some of these changes are likely to also be required to support the calculation of boundary meter data for difference metering and shared systems as per the response to question 2. If both are progressed the total cost to implement is likely to be slightly less than the sum of the two cost estimates given in response to question 2 and this question. </w:t>
            </w:r>
          </w:p>
          <w:p w14:paraId="4D738529" w14:textId="77777777" w:rsidR="00C37B68" w:rsidRPr="00CE3059" w:rsidRDefault="00C37B68" w:rsidP="008B233C">
            <w:pPr>
              <w:spacing w:after="120"/>
              <w:rPr>
                <w:rFonts w:eastAsia="Times New Roman" w:cstheme="minorHAnsi"/>
                <w:color w:val="000000"/>
                <w:lang w:eastAsia="en-GB"/>
              </w:rPr>
            </w:pPr>
            <w:r w:rsidRPr="00CE3059">
              <w:rPr>
                <w:rFonts w:eastAsia="Times New Roman" w:cstheme="minorHAnsi"/>
                <w:color w:val="000000"/>
                <w:lang w:eastAsia="en-GB"/>
              </w:rPr>
              <w:t xml:space="preserve">SCS assumes that DNOs will require changes to their finance interface packages as it’s likely that the PNO credit will need to be accounted for differently to DUoS bills. For DNOs who have a finance interface procedure in DURABILL, the costs to change would be in the region of £30,000 each. </w:t>
            </w:r>
          </w:p>
          <w:p w14:paraId="6C2E1068" w14:textId="63C85700" w:rsidR="00C37B68" w:rsidRPr="00E21E07" w:rsidRDefault="00C37B68" w:rsidP="008B233C">
            <w:pPr>
              <w:spacing w:after="120"/>
              <w:rPr>
                <w:rFonts w:eastAsia="Times New Roman" w:cstheme="minorHAnsi"/>
                <w:color w:val="000000"/>
                <w:lang w:eastAsia="en-GB"/>
              </w:rPr>
            </w:pPr>
            <w:r w:rsidRPr="00CE3059">
              <w:rPr>
                <w:rFonts w:eastAsia="Times New Roman" w:cstheme="minorHAnsi"/>
                <w:b/>
                <w:bCs/>
                <w:color w:val="000000"/>
                <w:lang w:eastAsia="en-GB"/>
              </w:rPr>
              <w:lastRenderedPageBreak/>
              <w:t>These costs are considerable for the DNOs to accommodate the rebate solution.</w:t>
            </w:r>
            <w:r w:rsidRPr="00CE3059">
              <w:rPr>
                <w:rFonts w:eastAsia="Times New Roman" w:cstheme="minorHAnsi"/>
                <w:color w:val="000000"/>
                <w:lang w:eastAsia="en-GB"/>
              </w:rPr>
              <w:t xml:space="preserve">  The rebate is likely to be small in value and volume of PNO.  Could a rebate be calculated in a less complicated formula to make the creation of the rebate much easier for the DNO. Could the annual total </w:t>
            </w:r>
            <w:proofErr w:type="spellStart"/>
            <w:r w:rsidRPr="00CE3059">
              <w:rPr>
                <w:rFonts w:eastAsia="Times New Roman" w:cstheme="minorHAnsi"/>
                <w:color w:val="000000"/>
                <w:lang w:eastAsia="en-GB"/>
              </w:rPr>
              <w:t>kWH</w:t>
            </w:r>
            <w:proofErr w:type="spellEnd"/>
            <w:r w:rsidRPr="00CE3059">
              <w:rPr>
                <w:rFonts w:eastAsia="Times New Roman" w:cstheme="minorHAnsi"/>
                <w:color w:val="000000"/>
                <w:lang w:eastAsia="en-GB"/>
              </w:rPr>
              <w:t xml:space="preserve"> recorded at the boundary meter be applied to a rate to this to calculate an annual rebate, or a similar simple formula?</w:t>
            </w:r>
          </w:p>
        </w:tc>
        <w:tc>
          <w:tcPr>
            <w:tcW w:w="1984" w:type="dxa"/>
            <w:tcBorders>
              <w:top w:val="single" w:sz="4" w:space="0" w:color="auto"/>
              <w:left w:val="nil"/>
              <w:bottom w:val="single" w:sz="4" w:space="0" w:color="auto"/>
              <w:right w:val="single" w:sz="4" w:space="0" w:color="auto"/>
            </w:tcBorders>
            <w:shd w:val="clear" w:color="auto" w:fill="auto"/>
          </w:tcPr>
          <w:p w14:paraId="28A07683" w14:textId="77777777" w:rsidR="00C37B68" w:rsidRDefault="00C37B68" w:rsidP="008B233C">
            <w:pPr>
              <w:pStyle w:val="BodyTextNoSpacing"/>
              <w:rPr>
                <w:rFonts w:asciiTheme="minorHAnsi" w:hAnsiTheme="minorHAnsi" w:cstheme="minorHAnsi"/>
                <w:sz w:val="22"/>
                <w:szCs w:val="22"/>
              </w:rPr>
            </w:pPr>
            <w:r>
              <w:rPr>
                <w:rFonts w:asciiTheme="minorHAnsi" w:hAnsiTheme="minorHAnsi" w:cstheme="minorHAnsi"/>
                <w:sz w:val="22"/>
                <w:szCs w:val="22"/>
              </w:rPr>
              <w:lastRenderedPageBreak/>
              <w:t>Question related to what the ‘rate’ would be and whether this would be cost reflective.</w:t>
            </w:r>
          </w:p>
          <w:p w14:paraId="2EEF554F" w14:textId="77777777" w:rsidR="00C37B68" w:rsidRDefault="00C37B68" w:rsidP="008B233C">
            <w:pPr>
              <w:pStyle w:val="BodyTextNoSpacing"/>
              <w:rPr>
                <w:rFonts w:asciiTheme="minorHAnsi" w:hAnsiTheme="minorHAnsi" w:cstheme="minorHAnsi"/>
                <w:sz w:val="22"/>
                <w:szCs w:val="22"/>
              </w:rPr>
            </w:pPr>
          </w:p>
          <w:p w14:paraId="2EA889BF"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r>
              <w:rPr>
                <w:rFonts w:asciiTheme="minorHAnsi" w:hAnsiTheme="minorHAnsi" w:cstheme="minorHAnsi"/>
                <w:sz w:val="22"/>
                <w:szCs w:val="22"/>
              </w:rPr>
              <w:t xml:space="preserve">It should be possible to </w:t>
            </w:r>
            <w:r w:rsidRPr="00CE3059">
              <w:rPr>
                <w:rFonts w:asciiTheme="minorHAnsi" w:eastAsia="Times New Roman" w:hAnsiTheme="minorHAnsi" w:cstheme="minorHAnsi"/>
                <w:color w:val="000000"/>
                <w:sz w:val="22"/>
                <w:szCs w:val="22"/>
                <w:lang w:eastAsia="en-GB"/>
              </w:rPr>
              <w:t>calculate</w:t>
            </w:r>
            <w:r>
              <w:rPr>
                <w:rFonts w:asciiTheme="minorHAnsi" w:eastAsia="Times New Roman" w:hAnsiTheme="minorHAnsi" w:cstheme="minorHAnsi"/>
                <w:color w:val="000000"/>
                <w:sz w:val="22"/>
                <w:szCs w:val="22"/>
                <w:lang w:eastAsia="en-GB"/>
              </w:rPr>
              <w:t xml:space="preserve"> outside of DURABILL and this could be </w:t>
            </w:r>
            <w:r w:rsidRPr="00CE3059">
              <w:rPr>
                <w:rFonts w:asciiTheme="minorHAnsi" w:eastAsia="Times New Roman" w:hAnsiTheme="minorHAnsi" w:cstheme="minorHAnsi"/>
                <w:color w:val="000000"/>
                <w:sz w:val="22"/>
                <w:szCs w:val="22"/>
                <w:lang w:eastAsia="en-GB"/>
              </w:rPr>
              <w:t>calculated</w:t>
            </w:r>
            <w:r>
              <w:rPr>
                <w:rFonts w:asciiTheme="minorHAnsi" w:eastAsia="Times New Roman" w:hAnsiTheme="minorHAnsi" w:cstheme="minorHAnsi"/>
                <w:color w:val="000000"/>
                <w:sz w:val="22"/>
                <w:szCs w:val="22"/>
                <w:lang w:eastAsia="en-GB"/>
              </w:rPr>
              <w:t xml:space="preserve"> by the PNO and invoiced to the DNO/</w:t>
            </w:r>
            <w:proofErr w:type="gramStart"/>
            <w:r>
              <w:rPr>
                <w:rFonts w:asciiTheme="minorHAnsi" w:eastAsia="Times New Roman" w:hAnsiTheme="minorHAnsi" w:cstheme="minorHAnsi"/>
                <w:color w:val="000000"/>
                <w:sz w:val="22"/>
                <w:szCs w:val="22"/>
                <w:lang w:eastAsia="en-GB"/>
              </w:rPr>
              <w:t>IDNO</w:t>
            </w:r>
            <w:proofErr w:type="gramEnd"/>
            <w:r>
              <w:rPr>
                <w:rFonts w:asciiTheme="minorHAnsi" w:eastAsia="Times New Roman" w:hAnsiTheme="minorHAnsi" w:cstheme="minorHAnsi"/>
                <w:color w:val="000000"/>
                <w:sz w:val="22"/>
                <w:szCs w:val="22"/>
                <w:lang w:eastAsia="en-GB"/>
              </w:rPr>
              <w:t xml:space="preserve"> but this may require verification.</w:t>
            </w:r>
          </w:p>
          <w:p w14:paraId="12B93A42"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p>
          <w:p w14:paraId="66FCAF98"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r>
              <w:rPr>
                <w:rFonts w:asciiTheme="minorHAnsi" w:eastAsia="Times New Roman" w:hAnsiTheme="minorHAnsi" w:cstheme="minorHAnsi"/>
                <w:color w:val="000000"/>
                <w:sz w:val="22"/>
                <w:szCs w:val="22"/>
                <w:lang w:eastAsia="en-GB"/>
              </w:rPr>
              <w:t>Question on how easy it would be to verify the invoiced rebate amount. Also, how to ensure all PNOs use consistent process.</w:t>
            </w:r>
          </w:p>
          <w:p w14:paraId="06E94E36"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p>
          <w:p w14:paraId="3F6A27FD"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r>
              <w:rPr>
                <w:rFonts w:asciiTheme="minorHAnsi" w:eastAsia="Times New Roman" w:hAnsiTheme="minorHAnsi" w:cstheme="minorHAnsi"/>
                <w:color w:val="000000"/>
                <w:sz w:val="22"/>
                <w:szCs w:val="22"/>
                <w:lang w:eastAsia="en-GB"/>
              </w:rPr>
              <w:t xml:space="preserve">Could be facilitated within the LC14 statements and included in </w:t>
            </w:r>
            <w:r>
              <w:rPr>
                <w:rFonts w:asciiTheme="minorHAnsi" w:eastAsia="Times New Roman" w:hAnsiTheme="minorHAnsi" w:cstheme="minorHAnsi"/>
                <w:color w:val="000000"/>
                <w:sz w:val="22"/>
                <w:szCs w:val="22"/>
                <w:lang w:eastAsia="en-GB"/>
              </w:rPr>
              <w:lastRenderedPageBreak/>
              <w:t xml:space="preserve">connection agreements. </w:t>
            </w:r>
          </w:p>
          <w:p w14:paraId="668CDB7E" w14:textId="77777777" w:rsidR="00C37B68" w:rsidRDefault="00C37B68" w:rsidP="008B233C">
            <w:pPr>
              <w:pStyle w:val="BodyTextNoSpacing"/>
              <w:rPr>
                <w:rFonts w:asciiTheme="minorHAnsi" w:eastAsia="Times New Roman" w:hAnsiTheme="minorHAnsi" w:cstheme="minorHAnsi"/>
                <w:color w:val="000000"/>
                <w:sz w:val="22"/>
                <w:szCs w:val="22"/>
                <w:lang w:eastAsia="en-GB"/>
              </w:rPr>
            </w:pPr>
          </w:p>
          <w:p w14:paraId="56DC14D0" w14:textId="77777777" w:rsidR="00C37B68" w:rsidRDefault="00C37B68" w:rsidP="008B233C">
            <w:pPr>
              <w:pStyle w:val="BodyTextNoSpacing"/>
              <w:rPr>
                <w:rFonts w:asciiTheme="minorHAnsi" w:hAnsiTheme="minorHAnsi" w:cstheme="minorHAnsi"/>
                <w:sz w:val="22"/>
                <w:szCs w:val="22"/>
              </w:rPr>
            </w:pPr>
            <w:r>
              <w:rPr>
                <w:rFonts w:asciiTheme="minorHAnsi" w:hAnsiTheme="minorHAnsi" w:cstheme="minorHAnsi"/>
                <w:sz w:val="22"/>
                <w:szCs w:val="22"/>
              </w:rPr>
              <w:t>Question related to whether such a solution is out of scope of the changes being progressed under DCP328.</w:t>
            </w:r>
          </w:p>
          <w:p w14:paraId="1EF7289B" w14:textId="77777777" w:rsidR="006A76B0" w:rsidRDefault="006A76B0" w:rsidP="008B233C">
            <w:pPr>
              <w:pStyle w:val="BodyTextNoSpacing"/>
              <w:rPr>
                <w:rFonts w:asciiTheme="minorHAnsi" w:hAnsiTheme="minorHAnsi" w:cstheme="minorHAnsi"/>
                <w:sz w:val="22"/>
                <w:szCs w:val="22"/>
              </w:rPr>
            </w:pPr>
          </w:p>
          <w:p w14:paraId="3E3866E2" w14:textId="0ADD88D2" w:rsidR="006A76B0" w:rsidRDefault="006A76B0" w:rsidP="008B233C">
            <w:pPr>
              <w:pStyle w:val="BodyTextNoSpacing"/>
              <w:rPr>
                <w:rFonts w:asciiTheme="minorHAnsi" w:hAnsiTheme="minorHAnsi" w:cstheme="minorHAnsi"/>
                <w:sz w:val="22"/>
                <w:szCs w:val="22"/>
              </w:rPr>
            </w:pPr>
            <w:r>
              <w:rPr>
                <w:rFonts w:ascii="Calibri" w:eastAsia="Times New Roman" w:hAnsi="Calibri" w:cs="Calibri"/>
                <w:color w:val="000000"/>
                <w:lang w:eastAsia="en-GB"/>
              </w:rPr>
              <w:t>There is no boundary meter where such a rebate solution is being suggested.</w:t>
            </w:r>
          </w:p>
        </w:tc>
        <w:tc>
          <w:tcPr>
            <w:tcW w:w="1559" w:type="dxa"/>
            <w:tcBorders>
              <w:top w:val="single" w:sz="4" w:space="0" w:color="auto"/>
              <w:left w:val="nil"/>
              <w:bottom w:val="single" w:sz="4" w:space="0" w:color="auto"/>
              <w:right w:val="single" w:sz="4" w:space="0" w:color="auto"/>
            </w:tcBorders>
            <w:shd w:val="clear" w:color="auto" w:fill="auto"/>
          </w:tcPr>
          <w:p w14:paraId="0907869F" w14:textId="77777777" w:rsidR="00D96FBB" w:rsidRPr="009D25A1" w:rsidRDefault="00D96FBB" w:rsidP="008B233C">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lastRenderedPageBreak/>
              <w:t xml:space="preserve">PNOs would need to apply to claim a rebate </w:t>
            </w:r>
            <w:r w:rsidR="00680365" w:rsidRPr="009D25A1">
              <w:rPr>
                <w:rFonts w:ascii="Calibri" w:eastAsia="Times New Roman" w:hAnsi="Calibri" w:cs="Calibri"/>
                <w:color w:val="4472C4" w:themeColor="accent1"/>
                <w:lang w:eastAsia="en-GB"/>
              </w:rPr>
              <w:t xml:space="preserve">but will be down to the DNO to make the calculation. PNOs need to be able to say upfront what they are expecting to receive. </w:t>
            </w:r>
          </w:p>
          <w:p w14:paraId="00B4486D" w14:textId="77777777" w:rsidR="00680365" w:rsidRPr="009D25A1" w:rsidRDefault="00680365" w:rsidP="008B233C">
            <w:pPr>
              <w:spacing w:after="0" w:line="240" w:lineRule="auto"/>
              <w:rPr>
                <w:rFonts w:ascii="Calibri" w:eastAsia="Times New Roman" w:hAnsi="Calibri" w:cs="Calibri"/>
                <w:color w:val="4472C4" w:themeColor="accent1"/>
                <w:lang w:eastAsia="en-GB"/>
              </w:rPr>
            </w:pPr>
          </w:p>
          <w:p w14:paraId="0A2500A0" w14:textId="77777777" w:rsidR="00680365" w:rsidRPr="009D25A1" w:rsidRDefault="00680365" w:rsidP="008B233C">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A standard template could be used, however where the data comes from is currently unknown. </w:t>
            </w:r>
          </w:p>
          <w:p w14:paraId="30B06470" w14:textId="77777777" w:rsidR="00680365" w:rsidRPr="009D25A1" w:rsidRDefault="00680365" w:rsidP="008B233C">
            <w:pPr>
              <w:spacing w:after="0" w:line="240" w:lineRule="auto"/>
              <w:rPr>
                <w:rFonts w:ascii="Calibri" w:eastAsia="Times New Roman" w:hAnsi="Calibri" w:cs="Calibri"/>
                <w:color w:val="4472C4" w:themeColor="accent1"/>
                <w:lang w:eastAsia="en-GB"/>
              </w:rPr>
            </w:pPr>
          </w:p>
          <w:p w14:paraId="14CFC4BF" w14:textId="202B9D9C" w:rsidR="00680365" w:rsidRDefault="00595A1F" w:rsidP="008B233C">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 xml:space="preserve">Concerns have been raised over the PNOs ability to have visibility of the </w:t>
            </w:r>
            <w:r w:rsidRPr="009D25A1">
              <w:rPr>
                <w:rFonts w:ascii="Calibri" w:eastAsia="Times New Roman" w:hAnsi="Calibri" w:cs="Calibri"/>
                <w:color w:val="4472C4" w:themeColor="accent1"/>
                <w:lang w:eastAsia="en-GB"/>
              </w:rPr>
              <w:lastRenderedPageBreak/>
              <w:t xml:space="preserve">assessment beforehand. </w:t>
            </w:r>
          </w:p>
        </w:tc>
      </w:tr>
      <w:tr w:rsidR="008B233C" w:rsidRPr="008F060A" w14:paraId="7118E736" w14:textId="77777777" w:rsidTr="00FA222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E1425F4" w14:textId="1F375EDC" w:rsidR="008B233C" w:rsidRDefault="001D74CB" w:rsidP="008B233C">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lastRenderedPageBreak/>
              <w:t>5</w:t>
            </w:r>
          </w:p>
        </w:tc>
        <w:tc>
          <w:tcPr>
            <w:tcW w:w="3440" w:type="dxa"/>
            <w:tcBorders>
              <w:top w:val="single" w:sz="4" w:space="0" w:color="auto"/>
              <w:left w:val="nil"/>
              <w:bottom w:val="single" w:sz="4" w:space="0" w:color="auto"/>
              <w:right w:val="single" w:sz="4" w:space="0" w:color="auto"/>
            </w:tcBorders>
            <w:shd w:val="clear" w:color="auto" w:fill="auto"/>
          </w:tcPr>
          <w:p w14:paraId="16010059" w14:textId="3C92941C" w:rsidR="008B233C" w:rsidRPr="00CE3059" w:rsidRDefault="00C37B68" w:rsidP="008B233C">
            <w:pPr>
              <w:spacing w:after="0" w:line="240" w:lineRule="auto"/>
              <w:rPr>
                <w:rFonts w:eastAsia="Times New Roman" w:cstheme="minorHAnsi"/>
                <w:bCs/>
                <w:color w:val="000000"/>
                <w:lang w:eastAsia="en-GB"/>
              </w:rPr>
            </w:pPr>
            <w:bookmarkStart w:id="2" w:name="_Hlk77802395"/>
            <w:r w:rsidRPr="00CE3059">
              <w:rPr>
                <w:rFonts w:eastAsia="Times New Roman" w:cstheme="minorHAnsi"/>
                <w:bCs/>
                <w:color w:val="000000"/>
                <w:lang w:eastAsia="en-GB"/>
              </w:rPr>
              <w:t>What are your thoughts on customers that export within the PNO Network, should there be a negative rebate</w:t>
            </w:r>
            <w:bookmarkEnd w:id="2"/>
            <w:r w:rsidRPr="00CE3059">
              <w:rPr>
                <w:rFonts w:eastAsia="Times New Roman" w:cstheme="minorHAnsi"/>
                <w:bCs/>
                <w:color w:val="000000"/>
                <w:lang w:eastAsia="en-GB"/>
              </w:rPr>
              <w:t>?</w:t>
            </w:r>
          </w:p>
        </w:tc>
        <w:tc>
          <w:tcPr>
            <w:tcW w:w="1379" w:type="dxa"/>
            <w:tcBorders>
              <w:top w:val="single" w:sz="4" w:space="0" w:color="auto"/>
              <w:left w:val="nil"/>
              <w:bottom w:val="single" w:sz="4" w:space="0" w:color="auto"/>
              <w:right w:val="single" w:sz="4" w:space="0" w:color="auto"/>
            </w:tcBorders>
            <w:shd w:val="clear" w:color="auto" w:fill="auto"/>
          </w:tcPr>
          <w:p w14:paraId="3F770FCD" w14:textId="66AA3FFD" w:rsidR="008B233C" w:rsidRPr="00CE3059" w:rsidRDefault="00C37B68" w:rsidP="008B233C">
            <w:pPr>
              <w:spacing w:after="0" w:line="240" w:lineRule="auto"/>
              <w:rPr>
                <w:rFonts w:eastAsia="Times New Roman" w:cstheme="minorHAnsi"/>
                <w:color w:val="000000"/>
                <w:lang w:eastAsia="en-GB"/>
              </w:rPr>
            </w:pPr>
            <w:r>
              <w:rPr>
                <w:rFonts w:eastAsia="Times New Roman" w:cstheme="minorHAnsi"/>
                <w:color w:val="000000"/>
                <w:lang w:eastAsia="en-GB"/>
              </w:rPr>
              <w:t>ENWL</w:t>
            </w:r>
          </w:p>
        </w:tc>
        <w:tc>
          <w:tcPr>
            <w:tcW w:w="4962" w:type="dxa"/>
            <w:tcBorders>
              <w:top w:val="single" w:sz="4" w:space="0" w:color="auto"/>
              <w:left w:val="nil"/>
              <w:bottom w:val="single" w:sz="4" w:space="0" w:color="auto"/>
              <w:right w:val="single" w:sz="4" w:space="0" w:color="auto"/>
            </w:tcBorders>
            <w:shd w:val="clear" w:color="auto" w:fill="auto"/>
            <w:vAlign w:val="center"/>
          </w:tcPr>
          <w:p w14:paraId="19A9A51D" w14:textId="77777777" w:rsidR="00C37B68" w:rsidRPr="00CE3059" w:rsidRDefault="00C37B68" w:rsidP="00C37B68">
            <w:pPr>
              <w:spacing w:after="120"/>
              <w:rPr>
                <w:rFonts w:eastAsia="Times New Roman" w:cstheme="minorHAnsi"/>
                <w:color w:val="000000"/>
                <w:lang w:eastAsia="en-GB"/>
              </w:rPr>
            </w:pPr>
            <w:r w:rsidRPr="00CE3059">
              <w:rPr>
                <w:rFonts w:eastAsia="Times New Roman" w:cstheme="minorHAnsi"/>
                <w:color w:val="000000"/>
                <w:lang w:eastAsia="en-GB"/>
              </w:rPr>
              <w:t>We believe that negative rebates may be problematic as DNOs might rely on PNOs to identify export sites embedded in PNO networks, however not having negative rebates creates distortions in competition.</w:t>
            </w:r>
          </w:p>
          <w:p w14:paraId="55A61186" w14:textId="1C300BED" w:rsidR="008B233C" w:rsidRPr="00CE3059" w:rsidRDefault="00C37B68" w:rsidP="00C37B68">
            <w:pPr>
              <w:spacing w:after="120"/>
              <w:jc w:val="both"/>
              <w:rPr>
                <w:rFonts w:eastAsia="Times New Roman" w:cstheme="minorHAnsi"/>
                <w:color w:val="000000"/>
                <w:lang w:eastAsia="en-GB"/>
              </w:rPr>
            </w:pPr>
            <w:r w:rsidRPr="00CE3059">
              <w:rPr>
                <w:rFonts w:eastAsia="Times New Roman" w:cstheme="minorHAnsi"/>
                <w:color w:val="000000"/>
                <w:lang w:val="id-ID" w:eastAsia="en-GB"/>
              </w:rPr>
              <w:t>Regarding customers that have export MPANs, having no negative rebate to PNOs for any export MPANs could result in a distortion to competition with generators that connect at the same voltage as the PNO. This is because the aggregate of credits to an LV generator on an HV PNO network and the rebate (ie zero) to that HV PNO network would be higher than the credit paid to a generator connected at HV.</w:t>
            </w:r>
          </w:p>
        </w:tc>
        <w:tc>
          <w:tcPr>
            <w:tcW w:w="1984" w:type="dxa"/>
            <w:tcBorders>
              <w:top w:val="single" w:sz="4" w:space="0" w:color="auto"/>
              <w:left w:val="nil"/>
              <w:bottom w:val="single" w:sz="4" w:space="0" w:color="auto"/>
              <w:right w:val="single" w:sz="4" w:space="0" w:color="auto"/>
            </w:tcBorders>
            <w:shd w:val="clear" w:color="auto" w:fill="auto"/>
          </w:tcPr>
          <w:p w14:paraId="36224709" w14:textId="77777777" w:rsidR="00C37B68" w:rsidRDefault="00C37B68" w:rsidP="00C37B68">
            <w:pPr>
              <w:pStyle w:val="BodyTextNoSpacing"/>
              <w:rPr>
                <w:rFonts w:asciiTheme="minorHAnsi" w:hAnsiTheme="minorHAnsi" w:cstheme="minorHAnsi"/>
                <w:sz w:val="22"/>
                <w:szCs w:val="22"/>
              </w:rPr>
            </w:pPr>
            <w:r>
              <w:rPr>
                <w:rFonts w:asciiTheme="minorHAnsi" w:hAnsiTheme="minorHAnsi" w:cstheme="minorHAnsi"/>
                <w:sz w:val="22"/>
                <w:szCs w:val="22"/>
              </w:rPr>
              <w:t xml:space="preserve">The current solution will cover </w:t>
            </w:r>
            <w:proofErr w:type="gramStart"/>
            <w:r>
              <w:rPr>
                <w:rFonts w:asciiTheme="minorHAnsi" w:hAnsiTheme="minorHAnsi" w:cstheme="minorHAnsi"/>
                <w:sz w:val="22"/>
                <w:szCs w:val="22"/>
              </w:rPr>
              <w:t>a majority of</w:t>
            </w:r>
            <w:proofErr w:type="gramEnd"/>
            <w:r>
              <w:rPr>
                <w:rFonts w:asciiTheme="minorHAnsi" w:hAnsiTheme="minorHAnsi" w:cstheme="minorHAnsi"/>
                <w:sz w:val="22"/>
                <w:szCs w:val="22"/>
              </w:rPr>
              <w:t xml:space="preserve"> cases and the likelihood of negative rebate will be very small. </w:t>
            </w:r>
          </w:p>
          <w:p w14:paraId="5C0BF62B" w14:textId="77777777" w:rsidR="00C37B68" w:rsidRDefault="00C37B68" w:rsidP="00C37B68">
            <w:pPr>
              <w:pStyle w:val="BodyTextNoSpacing"/>
              <w:rPr>
                <w:rFonts w:asciiTheme="minorHAnsi" w:hAnsiTheme="minorHAnsi" w:cstheme="minorHAnsi"/>
                <w:sz w:val="22"/>
                <w:szCs w:val="22"/>
              </w:rPr>
            </w:pPr>
          </w:p>
          <w:p w14:paraId="5EFB2AA7" w14:textId="759005E8" w:rsidR="008B233C" w:rsidRDefault="00C37B68" w:rsidP="00C37B68">
            <w:pPr>
              <w:pStyle w:val="BodyTextNoSpacing"/>
              <w:rPr>
                <w:rFonts w:asciiTheme="minorHAnsi" w:hAnsiTheme="minorHAnsi" w:cstheme="minorHAnsi"/>
                <w:sz w:val="22"/>
                <w:szCs w:val="22"/>
              </w:rPr>
            </w:pPr>
            <w:r>
              <w:rPr>
                <w:rFonts w:asciiTheme="minorHAnsi" w:hAnsiTheme="minorHAnsi" w:cstheme="minorHAnsi"/>
                <w:sz w:val="22"/>
                <w:szCs w:val="22"/>
              </w:rPr>
              <w:t xml:space="preserve">The rationale for no negative rebate will be captured in the change report. </w:t>
            </w:r>
          </w:p>
        </w:tc>
        <w:tc>
          <w:tcPr>
            <w:tcW w:w="1559" w:type="dxa"/>
            <w:tcBorders>
              <w:top w:val="single" w:sz="4" w:space="0" w:color="auto"/>
              <w:left w:val="nil"/>
              <w:bottom w:val="single" w:sz="4" w:space="0" w:color="auto"/>
              <w:right w:val="single" w:sz="4" w:space="0" w:color="auto"/>
            </w:tcBorders>
            <w:shd w:val="clear" w:color="auto" w:fill="auto"/>
          </w:tcPr>
          <w:p w14:paraId="34C3CA68" w14:textId="77777777" w:rsidR="008B233C" w:rsidRPr="009D25A1" w:rsidRDefault="00595A1F" w:rsidP="008B233C">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Not going to apply a negative rebate. </w:t>
            </w:r>
          </w:p>
          <w:p w14:paraId="5BBA9ED9" w14:textId="77777777" w:rsidR="00595A1F" w:rsidRPr="009D25A1" w:rsidRDefault="00595A1F" w:rsidP="008B233C">
            <w:pPr>
              <w:spacing w:after="0" w:line="240" w:lineRule="auto"/>
              <w:rPr>
                <w:rFonts w:ascii="Calibri" w:eastAsia="Times New Roman" w:hAnsi="Calibri" w:cs="Calibri"/>
                <w:color w:val="4472C4" w:themeColor="accent1"/>
                <w:lang w:eastAsia="en-GB"/>
              </w:rPr>
            </w:pPr>
          </w:p>
          <w:p w14:paraId="66AE2664" w14:textId="77777777" w:rsidR="00595A1F" w:rsidRPr="009D25A1" w:rsidRDefault="00595A1F" w:rsidP="008B233C">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No need for a disputes process.</w:t>
            </w:r>
          </w:p>
          <w:p w14:paraId="64A034DD" w14:textId="36F81799" w:rsidR="00595A1F" w:rsidRDefault="00595A1F" w:rsidP="008B233C">
            <w:pPr>
              <w:spacing w:after="0" w:line="240" w:lineRule="auto"/>
              <w:rPr>
                <w:rFonts w:ascii="Calibri" w:eastAsia="Times New Roman" w:hAnsi="Calibri" w:cs="Calibri"/>
                <w:color w:val="000000"/>
                <w:lang w:eastAsia="en-GB"/>
              </w:rPr>
            </w:pPr>
          </w:p>
        </w:tc>
      </w:tr>
      <w:tr w:rsidR="00C37B68" w:rsidRPr="008F060A" w14:paraId="52F038AC" w14:textId="77777777" w:rsidTr="00FA222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B680D0C" w14:textId="47724198" w:rsidR="00C37B68" w:rsidRDefault="003E5424" w:rsidP="008B233C">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8</w:t>
            </w:r>
          </w:p>
        </w:tc>
        <w:tc>
          <w:tcPr>
            <w:tcW w:w="3440" w:type="dxa"/>
            <w:tcBorders>
              <w:top w:val="single" w:sz="4" w:space="0" w:color="auto"/>
              <w:left w:val="nil"/>
              <w:bottom w:val="single" w:sz="4" w:space="0" w:color="auto"/>
              <w:right w:val="single" w:sz="4" w:space="0" w:color="auto"/>
            </w:tcBorders>
            <w:shd w:val="clear" w:color="auto" w:fill="auto"/>
          </w:tcPr>
          <w:p w14:paraId="41C97E12" w14:textId="20C56015" w:rsidR="00C37B68" w:rsidRPr="00CE3059" w:rsidRDefault="00C37B68" w:rsidP="008B233C">
            <w:pPr>
              <w:spacing w:after="0" w:line="240" w:lineRule="auto"/>
              <w:rPr>
                <w:rFonts w:eastAsia="Times New Roman" w:cstheme="minorHAnsi"/>
                <w:bCs/>
                <w:color w:val="000000"/>
                <w:lang w:eastAsia="en-GB"/>
              </w:rPr>
            </w:pPr>
            <w:r w:rsidRPr="00CE3059">
              <w:rPr>
                <w:rFonts w:eastAsia="Times New Roman" w:cstheme="minorHAnsi"/>
                <w:bCs/>
                <w:color w:val="000000"/>
                <w:lang w:eastAsia="en-GB"/>
              </w:rPr>
              <w:t>Do you have any comments on the tariff solution for fully settled metering installations</w:t>
            </w:r>
          </w:p>
        </w:tc>
        <w:tc>
          <w:tcPr>
            <w:tcW w:w="1379" w:type="dxa"/>
            <w:tcBorders>
              <w:top w:val="single" w:sz="4" w:space="0" w:color="auto"/>
              <w:left w:val="nil"/>
              <w:bottom w:val="single" w:sz="4" w:space="0" w:color="auto"/>
              <w:right w:val="single" w:sz="4" w:space="0" w:color="auto"/>
            </w:tcBorders>
            <w:shd w:val="clear" w:color="auto" w:fill="auto"/>
          </w:tcPr>
          <w:p w14:paraId="69F643EA" w14:textId="54CC503C" w:rsidR="00C37B68" w:rsidRDefault="00C37B68" w:rsidP="008B233C">
            <w:pPr>
              <w:spacing w:after="0" w:line="240" w:lineRule="auto"/>
              <w:rPr>
                <w:rFonts w:eastAsia="Times New Roman" w:cstheme="minorHAnsi"/>
                <w:color w:val="000000"/>
                <w:lang w:eastAsia="en-GB"/>
              </w:rPr>
            </w:pPr>
            <w:r>
              <w:rPr>
                <w:rFonts w:eastAsia="Times New Roman" w:cstheme="minorHAnsi"/>
                <w:color w:val="000000"/>
                <w:lang w:eastAsia="en-GB"/>
              </w:rPr>
              <w:t>ENWL</w:t>
            </w:r>
          </w:p>
        </w:tc>
        <w:tc>
          <w:tcPr>
            <w:tcW w:w="4962" w:type="dxa"/>
            <w:tcBorders>
              <w:top w:val="single" w:sz="4" w:space="0" w:color="auto"/>
              <w:left w:val="nil"/>
              <w:bottom w:val="single" w:sz="4" w:space="0" w:color="auto"/>
              <w:right w:val="single" w:sz="4" w:space="0" w:color="auto"/>
            </w:tcBorders>
            <w:shd w:val="clear" w:color="auto" w:fill="auto"/>
            <w:vAlign w:val="center"/>
          </w:tcPr>
          <w:p w14:paraId="5E11AB8F" w14:textId="77777777" w:rsidR="00C37B68" w:rsidRPr="00CE3059" w:rsidRDefault="00C37B68" w:rsidP="00C37B68">
            <w:pPr>
              <w:spacing w:after="120"/>
              <w:rPr>
                <w:rFonts w:eastAsia="Times New Roman" w:cstheme="minorHAnsi"/>
                <w:color w:val="000000"/>
                <w:lang w:eastAsia="en-GB"/>
              </w:rPr>
            </w:pPr>
            <w:r w:rsidRPr="00CE3059">
              <w:rPr>
                <w:rFonts w:eastAsia="Times New Roman" w:cstheme="minorHAnsi"/>
                <w:color w:val="000000"/>
                <w:lang w:eastAsia="en-GB"/>
              </w:rPr>
              <w:t xml:space="preserve">Aggregate DUoS charges should be identical under all scenarios including no competition in supply or a single site/customer. We do not believe this would </w:t>
            </w:r>
            <w:r w:rsidRPr="00CE3059">
              <w:rPr>
                <w:rFonts w:eastAsia="Times New Roman" w:cstheme="minorHAnsi"/>
                <w:color w:val="000000"/>
                <w:lang w:eastAsia="en-GB"/>
              </w:rPr>
              <w:lastRenderedPageBreak/>
              <w:t>be achieved by the tariff solution for fully settled metering installations.</w:t>
            </w:r>
          </w:p>
          <w:p w14:paraId="27985DDF" w14:textId="66EF8150" w:rsidR="00C37B68" w:rsidRPr="00CE3059" w:rsidRDefault="00C37B68" w:rsidP="00C37B68">
            <w:pPr>
              <w:spacing w:after="120"/>
              <w:rPr>
                <w:rFonts w:eastAsia="Times New Roman" w:cstheme="minorHAnsi"/>
                <w:color w:val="000000"/>
                <w:lang w:eastAsia="en-GB"/>
              </w:rPr>
            </w:pPr>
            <w:r w:rsidRPr="00CE3059">
              <w:rPr>
                <w:rFonts w:eastAsia="Times New Roman" w:cstheme="minorHAnsi"/>
                <w:color w:val="000000"/>
                <w:lang w:val="id-ID" w:eastAsia="en-GB"/>
              </w:rPr>
              <w:t>As part of the role of the private network owner, and to enable competition, we suggest PNOs could be asked to identify which customers are on their networks and industry processes could then be put in to place to create pseudo boundary meter data that could be used to bill an appointed supplier DUoS.  The benefit of this solution is that it ensures that the DUoS charges to the DNO are the same under all metering arrangements.</w:t>
            </w:r>
          </w:p>
        </w:tc>
        <w:tc>
          <w:tcPr>
            <w:tcW w:w="1984" w:type="dxa"/>
            <w:tcBorders>
              <w:top w:val="single" w:sz="4" w:space="0" w:color="auto"/>
              <w:left w:val="nil"/>
              <w:bottom w:val="single" w:sz="4" w:space="0" w:color="auto"/>
              <w:right w:val="single" w:sz="4" w:space="0" w:color="auto"/>
            </w:tcBorders>
            <w:shd w:val="clear" w:color="auto" w:fill="auto"/>
          </w:tcPr>
          <w:p w14:paraId="282A359B" w14:textId="77777777" w:rsidR="00C37B68" w:rsidRDefault="00C37B68" w:rsidP="00C37B68">
            <w:pPr>
              <w:pStyle w:val="BodyTextNoSpacing"/>
              <w:rPr>
                <w:rFonts w:asciiTheme="minorHAnsi" w:eastAsia="Times New Roman" w:hAnsiTheme="minorHAnsi" w:cstheme="minorHAnsi"/>
                <w:color w:val="000000"/>
                <w:sz w:val="22"/>
                <w:szCs w:val="22"/>
                <w:lang w:val="id-ID" w:eastAsia="en-GB"/>
              </w:rPr>
            </w:pPr>
            <w:r>
              <w:rPr>
                <w:rFonts w:asciiTheme="minorHAnsi" w:hAnsiTheme="minorHAnsi" w:cstheme="minorHAnsi"/>
                <w:sz w:val="22"/>
                <w:szCs w:val="22"/>
              </w:rPr>
              <w:lastRenderedPageBreak/>
              <w:t xml:space="preserve">Doesn’t believe the tariff solution provides for </w:t>
            </w:r>
            <w:r w:rsidRPr="00CE3059">
              <w:rPr>
                <w:rFonts w:asciiTheme="minorHAnsi" w:eastAsia="Times New Roman" w:hAnsiTheme="minorHAnsi" w:cstheme="minorHAnsi"/>
                <w:color w:val="000000"/>
                <w:sz w:val="22"/>
                <w:szCs w:val="22"/>
                <w:lang w:val="id-ID" w:eastAsia="en-GB"/>
              </w:rPr>
              <w:lastRenderedPageBreak/>
              <w:t>identical</w:t>
            </w:r>
            <w:r>
              <w:rPr>
                <w:rFonts w:asciiTheme="minorHAnsi" w:eastAsia="Times New Roman" w:hAnsiTheme="minorHAnsi" w:cstheme="minorHAnsi"/>
                <w:color w:val="000000"/>
                <w:sz w:val="22"/>
                <w:szCs w:val="22"/>
                <w:lang w:eastAsia="en-GB"/>
              </w:rPr>
              <w:t xml:space="preserve"> </w:t>
            </w:r>
            <w:r w:rsidRPr="00CE3059">
              <w:rPr>
                <w:rFonts w:asciiTheme="minorHAnsi" w:eastAsia="Times New Roman" w:hAnsiTheme="minorHAnsi" w:cstheme="minorHAnsi"/>
                <w:color w:val="000000"/>
                <w:sz w:val="22"/>
                <w:szCs w:val="22"/>
                <w:lang w:val="id-ID" w:eastAsia="en-GB"/>
              </w:rPr>
              <w:t>Aggregate DUoS charges</w:t>
            </w:r>
          </w:p>
          <w:p w14:paraId="765745DC" w14:textId="77777777" w:rsidR="00C37B68" w:rsidRDefault="00C37B68" w:rsidP="00C37B68">
            <w:pPr>
              <w:pStyle w:val="BodyTextNoSpacing"/>
              <w:rPr>
                <w:rFonts w:asciiTheme="minorHAnsi" w:eastAsia="Times New Roman" w:hAnsiTheme="minorHAnsi" w:cstheme="minorHAnsi"/>
                <w:color w:val="000000"/>
                <w:sz w:val="22"/>
                <w:szCs w:val="22"/>
                <w:lang w:val="id-ID" w:eastAsia="en-GB"/>
              </w:rPr>
            </w:pPr>
          </w:p>
          <w:p w14:paraId="1B560323" w14:textId="0D1FFEDD" w:rsidR="00C37B68" w:rsidRDefault="00C37B68" w:rsidP="00C37B68">
            <w:pPr>
              <w:pStyle w:val="BodyTextNoSpacing"/>
              <w:rPr>
                <w:rFonts w:asciiTheme="minorHAnsi" w:hAnsiTheme="minorHAnsi" w:cstheme="minorHAnsi"/>
                <w:sz w:val="22"/>
                <w:szCs w:val="22"/>
              </w:rPr>
            </w:pPr>
            <w:r>
              <w:rPr>
                <w:rFonts w:asciiTheme="minorHAnsi" w:eastAsia="Times New Roman" w:hAnsiTheme="minorHAnsi" w:cstheme="minorHAnsi"/>
                <w:color w:val="000000"/>
                <w:sz w:val="22"/>
                <w:szCs w:val="22"/>
                <w:lang w:eastAsia="en-GB"/>
              </w:rPr>
              <w:t>Action: How would this work? Ask for clarity. How would an appointed Supplier be picked.</w:t>
            </w:r>
          </w:p>
        </w:tc>
        <w:tc>
          <w:tcPr>
            <w:tcW w:w="1559" w:type="dxa"/>
            <w:tcBorders>
              <w:top w:val="single" w:sz="4" w:space="0" w:color="auto"/>
              <w:left w:val="nil"/>
              <w:bottom w:val="single" w:sz="4" w:space="0" w:color="auto"/>
              <w:right w:val="single" w:sz="4" w:space="0" w:color="auto"/>
            </w:tcBorders>
            <w:shd w:val="clear" w:color="auto" w:fill="auto"/>
          </w:tcPr>
          <w:p w14:paraId="4DC3285C" w14:textId="742954E9" w:rsidR="00C37B68" w:rsidRDefault="00480724" w:rsidP="008B233C">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lastRenderedPageBreak/>
              <w:t xml:space="preserve">This is likely to be a costly solution and </w:t>
            </w:r>
            <w:r w:rsidRPr="009D25A1">
              <w:rPr>
                <w:rFonts w:ascii="Calibri" w:eastAsia="Times New Roman" w:hAnsi="Calibri" w:cs="Calibri"/>
                <w:color w:val="4472C4" w:themeColor="accent1"/>
                <w:lang w:eastAsia="en-GB"/>
              </w:rPr>
              <w:lastRenderedPageBreak/>
              <w:t xml:space="preserve">may not be easy to implement. </w:t>
            </w:r>
          </w:p>
        </w:tc>
      </w:tr>
      <w:tr w:rsidR="00C37B68" w:rsidRPr="008F060A" w14:paraId="3CF0E9F4" w14:textId="77777777" w:rsidTr="00C37B6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1E52539" w14:textId="33508ED8" w:rsidR="00C37B68" w:rsidRDefault="003E5424" w:rsidP="008B233C">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lastRenderedPageBreak/>
              <w:t>9</w:t>
            </w:r>
          </w:p>
        </w:tc>
        <w:tc>
          <w:tcPr>
            <w:tcW w:w="3440" w:type="dxa"/>
            <w:tcBorders>
              <w:top w:val="single" w:sz="4" w:space="0" w:color="auto"/>
              <w:left w:val="nil"/>
              <w:bottom w:val="single" w:sz="4" w:space="0" w:color="auto"/>
              <w:right w:val="single" w:sz="4" w:space="0" w:color="auto"/>
            </w:tcBorders>
            <w:shd w:val="clear" w:color="auto" w:fill="auto"/>
          </w:tcPr>
          <w:p w14:paraId="6ED1BE3E" w14:textId="3AB8608A" w:rsidR="00C37B68" w:rsidRPr="00CE3059" w:rsidRDefault="00C37B68" w:rsidP="008B233C">
            <w:pPr>
              <w:spacing w:after="0" w:line="240" w:lineRule="auto"/>
              <w:rPr>
                <w:rFonts w:eastAsia="Times New Roman" w:cstheme="minorHAnsi"/>
                <w:bCs/>
                <w:color w:val="000000"/>
                <w:lang w:eastAsia="en-GB"/>
              </w:rPr>
            </w:pPr>
            <w:r w:rsidRPr="00CE3059">
              <w:rPr>
                <w:rFonts w:eastAsia="Times New Roman" w:cstheme="minorHAnsi"/>
                <w:bCs/>
                <w:color w:val="000000"/>
                <w:lang w:eastAsia="en-GB"/>
              </w:rPr>
              <w:t>Which solution do you support and why? Solution A or Solution B.</w:t>
            </w:r>
          </w:p>
        </w:tc>
        <w:tc>
          <w:tcPr>
            <w:tcW w:w="1379" w:type="dxa"/>
            <w:tcBorders>
              <w:top w:val="single" w:sz="4" w:space="0" w:color="auto"/>
              <w:left w:val="nil"/>
              <w:bottom w:val="single" w:sz="4" w:space="0" w:color="auto"/>
              <w:right w:val="single" w:sz="4" w:space="0" w:color="auto"/>
            </w:tcBorders>
            <w:shd w:val="clear" w:color="auto" w:fill="auto"/>
          </w:tcPr>
          <w:p w14:paraId="7F7C35BF" w14:textId="5BBFBB1B" w:rsidR="00C37B68" w:rsidRDefault="00C37B68" w:rsidP="008B233C">
            <w:pPr>
              <w:spacing w:after="0" w:line="240" w:lineRule="auto"/>
              <w:rPr>
                <w:rFonts w:eastAsia="Times New Roman" w:cstheme="minorHAnsi"/>
                <w:color w:val="000000"/>
                <w:lang w:eastAsia="en-GB"/>
              </w:rPr>
            </w:pPr>
            <w:r>
              <w:rPr>
                <w:rFonts w:eastAsia="Times New Roman" w:cstheme="minorHAnsi"/>
                <w:color w:val="000000"/>
                <w:lang w:eastAsia="en-GB"/>
              </w:rPr>
              <w:t>N/A</w:t>
            </w:r>
          </w:p>
        </w:tc>
        <w:tc>
          <w:tcPr>
            <w:tcW w:w="4962" w:type="dxa"/>
            <w:tcBorders>
              <w:top w:val="single" w:sz="4" w:space="0" w:color="auto"/>
              <w:left w:val="nil"/>
              <w:bottom w:val="single" w:sz="4" w:space="0" w:color="auto"/>
              <w:right w:val="single" w:sz="4" w:space="0" w:color="auto"/>
            </w:tcBorders>
            <w:shd w:val="clear" w:color="auto" w:fill="auto"/>
          </w:tcPr>
          <w:p w14:paraId="5B26EFE0" w14:textId="6FC9C824" w:rsidR="00C37B68" w:rsidRPr="00CE3059" w:rsidRDefault="00C37B68" w:rsidP="00C37B68">
            <w:pPr>
              <w:spacing w:after="120"/>
              <w:rPr>
                <w:rFonts w:eastAsia="Times New Roman" w:cstheme="minorHAnsi"/>
                <w:color w:val="000000"/>
                <w:lang w:eastAsia="en-GB"/>
              </w:rPr>
            </w:pPr>
            <w:r>
              <w:rPr>
                <w:rFonts w:eastAsia="Times New Roman" w:cstheme="minorHAnsi"/>
                <w:color w:val="000000"/>
                <w:lang w:eastAsia="en-GB"/>
              </w:rPr>
              <w:t>Decision still to be made</w:t>
            </w:r>
          </w:p>
        </w:tc>
        <w:tc>
          <w:tcPr>
            <w:tcW w:w="1984" w:type="dxa"/>
            <w:tcBorders>
              <w:top w:val="single" w:sz="4" w:space="0" w:color="auto"/>
              <w:left w:val="nil"/>
              <w:bottom w:val="single" w:sz="4" w:space="0" w:color="auto"/>
              <w:right w:val="single" w:sz="4" w:space="0" w:color="auto"/>
            </w:tcBorders>
            <w:shd w:val="clear" w:color="auto" w:fill="auto"/>
          </w:tcPr>
          <w:p w14:paraId="0B5CC807" w14:textId="52400CC8" w:rsidR="00C37B68" w:rsidRDefault="00C37B68" w:rsidP="00C37B68">
            <w:pPr>
              <w:pStyle w:val="Default"/>
              <w:rPr>
                <w:rFonts w:asciiTheme="minorHAnsi" w:hAnsiTheme="minorHAnsi" w:cstheme="minorHAnsi"/>
                <w:sz w:val="22"/>
                <w:szCs w:val="22"/>
              </w:rPr>
            </w:pPr>
            <w:r>
              <w:rPr>
                <w:rFonts w:asciiTheme="minorHAnsi" w:hAnsiTheme="minorHAnsi" w:cstheme="minorHAnsi"/>
                <w:sz w:val="22"/>
                <w:szCs w:val="22"/>
              </w:rPr>
              <w:t>Pre finalising issues on Solution A and B the consultation responses were</w:t>
            </w:r>
            <w:bookmarkStart w:id="3" w:name="_Hlk80109673"/>
            <w:r>
              <w:rPr>
                <w:rFonts w:cstheme="minorHAnsi"/>
              </w:rPr>
              <w:t xml:space="preserve"> </w:t>
            </w:r>
            <w:r>
              <w:rPr>
                <w:rFonts w:asciiTheme="minorHAnsi" w:hAnsiTheme="minorHAnsi" w:cstheme="minorHAnsi"/>
                <w:sz w:val="22"/>
                <w:szCs w:val="22"/>
              </w:rPr>
              <w:t xml:space="preserve">Solution A – 2 </w:t>
            </w:r>
          </w:p>
          <w:p w14:paraId="01727223" w14:textId="77777777" w:rsidR="00C37B68" w:rsidRDefault="00C37B68" w:rsidP="00C37B68">
            <w:pPr>
              <w:pStyle w:val="Default"/>
              <w:rPr>
                <w:rFonts w:asciiTheme="minorHAnsi" w:hAnsiTheme="minorHAnsi" w:cstheme="minorHAnsi"/>
                <w:sz w:val="22"/>
                <w:szCs w:val="22"/>
              </w:rPr>
            </w:pPr>
            <w:r>
              <w:rPr>
                <w:rFonts w:asciiTheme="minorHAnsi" w:hAnsiTheme="minorHAnsi" w:cstheme="minorHAnsi"/>
                <w:sz w:val="22"/>
                <w:szCs w:val="22"/>
              </w:rPr>
              <w:t xml:space="preserve">Solution B 5 </w:t>
            </w:r>
          </w:p>
          <w:p w14:paraId="1E916808" w14:textId="77777777" w:rsidR="00C37B68" w:rsidRDefault="00C37B68" w:rsidP="00C37B68">
            <w:pPr>
              <w:pStyle w:val="Default"/>
              <w:rPr>
                <w:rFonts w:asciiTheme="minorHAnsi" w:hAnsiTheme="minorHAnsi" w:cstheme="minorHAnsi"/>
                <w:sz w:val="22"/>
                <w:szCs w:val="22"/>
              </w:rPr>
            </w:pPr>
            <w:r>
              <w:rPr>
                <w:rFonts w:asciiTheme="minorHAnsi" w:hAnsiTheme="minorHAnsi" w:cstheme="minorHAnsi"/>
                <w:sz w:val="22"/>
                <w:szCs w:val="22"/>
              </w:rPr>
              <w:t xml:space="preserve">Not supportive – 2 </w:t>
            </w:r>
          </w:p>
          <w:p w14:paraId="4B50C10A" w14:textId="77777777" w:rsidR="00C37B68" w:rsidRDefault="00C37B68" w:rsidP="00C37B68">
            <w:pPr>
              <w:pStyle w:val="Default"/>
              <w:rPr>
                <w:rFonts w:asciiTheme="minorHAnsi" w:hAnsiTheme="minorHAnsi" w:cstheme="minorHAnsi"/>
                <w:sz w:val="22"/>
                <w:szCs w:val="22"/>
              </w:rPr>
            </w:pPr>
            <w:r>
              <w:rPr>
                <w:rFonts w:asciiTheme="minorHAnsi" w:hAnsiTheme="minorHAnsi" w:cstheme="minorHAnsi"/>
                <w:sz w:val="22"/>
                <w:szCs w:val="22"/>
              </w:rPr>
              <w:t>No preference – 2</w:t>
            </w:r>
          </w:p>
          <w:p w14:paraId="7FCD3837" w14:textId="740A8292" w:rsidR="00C37B68" w:rsidRDefault="00C37B68" w:rsidP="00C37B68">
            <w:pPr>
              <w:pStyle w:val="BodyTextNoSpacing"/>
              <w:rPr>
                <w:rFonts w:asciiTheme="minorHAnsi" w:hAnsiTheme="minorHAnsi" w:cstheme="minorHAnsi"/>
                <w:sz w:val="22"/>
                <w:szCs w:val="22"/>
              </w:rPr>
            </w:pPr>
            <w:r>
              <w:rPr>
                <w:rFonts w:asciiTheme="minorHAnsi" w:hAnsiTheme="minorHAnsi" w:cstheme="minorHAnsi"/>
                <w:sz w:val="22"/>
                <w:szCs w:val="22"/>
              </w:rPr>
              <w:t>No response – 1</w:t>
            </w:r>
            <w:bookmarkEnd w:id="3"/>
          </w:p>
        </w:tc>
        <w:tc>
          <w:tcPr>
            <w:tcW w:w="1559" w:type="dxa"/>
            <w:tcBorders>
              <w:top w:val="single" w:sz="4" w:space="0" w:color="auto"/>
              <w:left w:val="nil"/>
              <w:bottom w:val="single" w:sz="4" w:space="0" w:color="auto"/>
              <w:right w:val="single" w:sz="4" w:space="0" w:color="auto"/>
            </w:tcBorders>
            <w:shd w:val="clear" w:color="auto" w:fill="auto"/>
          </w:tcPr>
          <w:p w14:paraId="7EF29FFF" w14:textId="0E9104F8" w:rsidR="00C37B68" w:rsidRDefault="00875B79" w:rsidP="008B233C">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Happy to progress with Solution B based on a majority vote.</w:t>
            </w:r>
          </w:p>
        </w:tc>
      </w:tr>
      <w:tr w:rsidR="000B7D1D" w:rsidRPr="008F060A" w14:paraId="4084B736" w14:textId="77777777" w:rsidTr="007A6F3F">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7BE7C47" w14:textId="124FD990" w:rsidR="000B7D1D" w:rsidRDefault="003E5424" w:rsidP="008B233C">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10</w:t>
            </w:r>
          </w:p>
        </w:tc>
        <w:tc>
          <w:tcPr>
            <w:tcW w:w="3440" w:type="dxa"/>
            <w:vMerge w:val="restart"/>
            <w:tcBorders>
              <w:top w:val="single" w:sz="4" w:space="0" w:color="auto"/>
              <w:left w:val="nil"/>
              <w:right w:val="single" w:sz="4" w:space="0" w:color="auto"/>
            </w:tcBorders>
            <w:shd w:val="clear" w:color="auto" w:fill="auto"/>
          </w:tcPr>
          <w:p w14:paraId="61B29E76" w14:textId="6526C679" w:rsidR="000B7D1D" w:rsidRPr="00CE3059" w:rsidRDefault="000B7D1D" w:rsidP="008B233C">
            <w:pPr>
              <w:spacing w:after="0" w:line="240" w:lineRule="auto"/>
              <w:rPr>
                <w:rFonts w:eastAsia="Times New Roman" w:cstheme="minorHAnsi"/>
                <w:bCs/>
                <w:color w:val="000000"/>
                <w:lang w:eastAsia="en-GB"/>
              </w:rPr>
            </w:pPr>
            <w:r w:rsidRPr="00CE3059">
              <w:rPr>
                <w:rFonts w:eastAsia="Times New Roman" w:cstheme="minorHAnsi"/>
                <w:bCs/>
                <w:color w:val="000000"/>
                <w:lang w:eastAsia="en-GB"/>
              </w:rPr>
              <w:t xml:space="preserve">Do you </w:t>
            </w:r>
            <w:bookmarkStart w:id="4" w:name="_Hlk80110971"/>
            <w:r w:rsidRPr="00CE3059">
              <w:rPr>
                <w:rFonts w:eastAsia="Times New Roman" w:cstheme="minorHAnsi"/>
                <w:bCs/>
                <w:color w:val="000000"/>
                <w:lang w:eastAsia="en-GB"/>
              </w:rPr>
              <w:t>agree with the approach to consider complex site based on the definitions agreed in DCP359?</w:t>
            </w:r>
            <w:bookmarkEnd w:id="4"/>
          </w:p>
        </w:tc>
        <w:tc>
          <w:tcPr>
            <w:tcW w:w="1379" w:type="dxa"/>
            <w:tcBorders>
              <w:top w:val="single" w:sz="4" w:space="0" w:color="auto"/>
              <w:left w:val="nil"/>
              <w:bottom w:val="single" w:sz="4" w:space="0" w:color="auto"/>
              <w:right w:val="single" w:sz="4" w:space="0" w:color="auto"/>
            </w:tcBorders>
            <w:shd w:val="clear" w:color="auto" w:fill="auto"/>
          </w:tcPr>
          <w:p w14:paraId="1C75F9A6" w14:textId="1FF7430E" w:rsidR="000B7D1D" w:rsidRDefault="000B7D1D" w:rsidP="008B233C">
            <w:pPr>
              <w:spacing w:after="0" w:line="240" w:lineRule="auto"/>
              <w:rPr>
                <w:rFonts w:eastAsia="Times New Roman" w:cstheme="minorHAnsi"/>
                <w:color w:val="000000"/>
                <w:lang w:eastAsia="en-GB"/>
              </w:rPr>
            </w:pPr>
            <w:r>
              <w:rPr>
                <w:rFonts w:eastAsia="Times New Roman" w:cstheme="minorHAnsi"/>
                <w:color w:val="000000"/>
                <w:lang w:eastAsia="en-GB"/>
              </w:rPr>
              <w:t>ENWL</w:t>
            </w:r>
          </w:p>
        </w:tc>
        <w:tc>
          <w:tcPr>
            <w:tcW w:w="4962" w:type="dxa"/>
            <w:tcBorders>
              <w:top w:val="single" w:sz="4" w:space="0" w:color="auto"/>
              <w:left w:val="nil"/>
              <w:bottom w:val="single" w:sz="4" w:space="0" w:color="auto"/>
              <w:right w:val="single" w:sz="4" w:space="0" w:color="auto"/>
            </w:tcBorders>
            <w:shd w:val="clear" w:color="auto" w:fill="auto"/>
            <w:vAlign w:val="center"/>
          </w:tcPr>
          <w:p w14:paraId="382F754E" w14:textId="77777777" w:rsidR="000B7D1D" w:rsidRDefault="000B7D1D" w:rsidP="00C37B68">
            <w:pPr>
              <w:spacing w:after="120"/>
              <w:rPr>
                <w:rFonts w:eastAsia="Times New Roman" w:cstheme="minorHAnsi"/>
                <w:color w:val="000000"/>
                <w:lang w:eastAsia="en-GB"/>
              </w:rPr>
            </w:pPr>
            <w:r w:rsidRPr="000361CB">
              <w:rPr>
                <w:rFonts w:eastAsia="Times New Roman" w:cstheme="minorHAnsi"/>
                <w:color w:val="000000"/>
                <w:lang w:eastAsia="en-GB"/>
              </w:rPr>
              <w:t xml:space="preserve">Yes, this change proposal may interact with DCP 388. In addition, the solution will need to support the requirement to report a single site under P402 to enable </w:t>
            </w:r>
            <w:proofErr w:type="spellStart"/>
            <w:r w:rsidRPr="000361CB">
              <w:rPr>
                <w:rFonts w:eastAsia="Times New Roman" w:cstheme="minorHAnsi"/>
                <w:color w:val="000000"/>
                <w:lang w:eastAsia="en-GB"/>
              </w:rPr>
              <w:t>TNUoS</w:t>
            </w:r>
            <w:proofErr w:type="spellEnd"/>
            <w:r w:rsidRPr="000361CB">
              <w:rPr>
                <w:rFonts w:eastAsia="Times New Roman" w:cstheme="minorHAnsi"/>
                <w:color w:val="000000"/>
                <w:lang w:eastAsia="en-GB"/>
              </w:rPr>
              <w:t xml:space="preserve"> billing.</w:t>
            </w:r>
          </w:p>
          <w:p w14:paraId="74F7148B" w14:textId="0FB405A2" w:rsidR="000B7D1D" w:rsidRDefault="000B7D1D" w:rsidP="00C37B68">
            <w:pPr>
              <w:spacing w:after="120"/>
              <w:rPr>
                <w:rFonts w:eastAsia="Times New Roman" w:cstheme="minorHAnsi"/>
                <w:color w:val="000000"/>
                <w:lang w:eastAsia="en-GB"/>
              </w:rPr>
            </w:pPr>
            <w:r w:rsidRPr="00CE3059">
              <w:rPr>
                <w:rFonts w:eastAsia="Times New Roman" w:cstheme="minorHAnsi"/>
                <w:color w:val="000000"/>
                <w:lang w:val="id-ID" w:eastAsia="en-GB"/>
              </w:rPr>
              <w:t>The Working Group should also consider that the site remains a single site for the purposes of the TCR.</w:t>
            </w:r>
          </w:p>
        </w:tc>
        <w:tc>
          <w:tcPr>
            <w:tcW w:w="1984" w:type="dxa"/>
            <w:tcBorders>
              <w:top w:val="single" w:sz="4" w:space="0" w:color="auto"/>
              <w:left w:val="nil"/>
              <w:bottom w:val="single" w:sz="4" w:space="0" w:color="auto"/>
              <w:right w:val="single" w:sz="4" w:space="0" w:color="auto"/>
            </w:tcBorders>
            <w:shd w:val="clear" w:color="auto" w:fill="auto"/>
          </w:tcPr>
          <w:p w14:paraId="45DBFE06" w14:textId="6A4F194E" w:rsidR="000B7D1D" w:rsidRDefault="000B7D1D" w:rsidP="00C37B68">
            <w:pPr>
              <w:pStyle w:val="BodyTextNoSpacing"/>
              <w:rPr>
                <w:rFonts w:asciiTheme="minorHAnsi" w:hAnsiTheme="minorHAnsi" w:cstheme="minorHAnsi"/>
                <w:sz w:val="22"/>
                <w:szCs w:val="22"/>
              </w:rPr>
            </w:pPr>
            <w:r>
              <w:rPr>
                <w:rFonts w:asciiTheme="minorHAnsi" w:hAnsiTheme="minorHAnsi" w:cstheme="minorHAnsi"/>
                <w:sz w:val="22"/>
                <w:szCs w:val="22"/>
              </w:rPr>
              <w:t>Note the comment of TCR and the Working Group will respond within the Change Report.</w:t>
            </w:r>
          </w:p>
        </w:tc>
        <w:tc>
          <w:tcPr>
            <w:tcW w:w="1559" w:type="dxa"/>
            <w:tcBorders>
              <w:top w:val="single" w:sz="4" w:space="0" w:color="auto"/>
              <w:left w:val="nil"/>
              <w:bottom w:val="single" w:sz="4" w:space="0" w:color="auto"/>
              <w:right w:val="single" w:sz="4" w:space="0" w:color="auto"/>
            </w:tcBorders>
            <w:shd w:val="clear" w:color="auto" w:fill="auto"/>
          </w:tcPr>
          <w:p w14:paraId="23AD0AD1" w14:textId="77777777" w:rsidR="000B7D1D" w:rsidRDefault="000B7D1D" w:rsidP="008B233C">
            <w:pPr>
              <w:spacing w:after="0" w:line="240" w:lineRule="auto"/>
              <w:rPr>
                <w:rFonts w:ascii="Calibri" w:eastAsia="Times New Roman" w:hAnsi="Calibri" w:cs="Calibri"/>
                <w:color w:val="000000"/>
                <w:lang w:eastAsia="en-GB"/>
              </w:rPr>
            </w:pPr>
          </w:p>
        </w:tc>
      </w:tr>
      <w:tr w:rsidR="000B7D1D" w:rsidRPr="008F060A" w14:paraId="2EAC6BE0" w14:textId="77777777" w:rsidTr="007A6F3F">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2B89F31" w14:textId="0FE6F1AB" w:rsidR="000B7D1D" w:rsidRDefault="000B7D1D" w:rsidP="008B233C">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0FC0056D" w14:textId="77777777" w:rsidR="000B7D1D" w:rsidRPr="00CE3059" w:rsidRDefault="000B7D1D" w:rsidP="008B233C">
            <w:pPr>
              <w:spacing w:after="0" w:line="240" w:lineRule="auto"/>
              <w:rPr>
                <w:rFonts w:eastAsia="Times New Roman" w:cstheme="minorHAnsi"/>
                <w:bCs/>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549CEC48" w14:textId="4CCD163C" w:rsidR="000B7D1D" w:rsidRDefault="000B7D1D" w:rsidP="008B233C">
            <w:pPr>
              <w:spacing w:after="0" w:line="240" w:lineRule="auto"/>
              <w:rPr>
                <w:rFonts w:eastAsia="Times New Roman" w:cstheme="minorHAnsi"/>
                <w:color w:val="000000"/>
                <w:lang w:eastAsia="en-GB"/>
              </w:rPr>
            </w:pPr>
            <w:proofErr w:type="spellStart"/>
            <w:r>
              <w:rPr>
                <w:rFonts w:eastAsia="Times New Roman" w:cstheme="minorHAnsi"/>
                <w:color w:val="000000"/>
                <w:lang w:eastAsia="en-GB"/>
              </w:rPr>
              <w:t>NPg</w:t>
            </w:r>
            <w:proofErr w:type="spellEnd"/>
          </w:p>
        </w:tc>
        <w:tc>
          <w:tcPr>
            <w:tcW w:w="4962" w:type="dxa"/>
            <w:tcBorders>
              <w:top w:val="single" w:sz="4" w:space="0" w:color="auto"/>
              <w:left w:val="nil"/>
              <w:bottom w:val="single" w:sz="4" w:space="0" w:color="auto"/>
              <w:right w:val="single" w:sz="4" w:space="0" w:color="auto"/>
            </w:tcBorders>
            <w:shd w:val="clear" w:color="auto" w:fill="auto"/>
            <w:vAlign w:val="center"/>
          </w:tcPr>
          <w:p w14:paraId="23215D26" w14:textId="51E42F7A" w:rsidR="000B7D1D" w:rsidRPr="000361CB" w:rsidRDefault="000B7D1D" w:rsidP="00C37B68">
            <w:pPr>
              <w:spacing w:after="120"/>
              <w:rPr>
                <w:rFonts w:eastAsia="Times New Roman" w:cstheme="minorHAnsi"/>
                <w:color w:val="000000"/>
                <w:lang w:eastAsia="en-GB"/>
              </w:rPr>
            </w:pPr>
            <w:r w:rsidRPr="00CE3059">
              <w:rPr>
                <w:rFonts w:eastAsia="Times New Roman" w:cstheme="minorHAnsi"/>
                <w:color w:val="000000"/>
                <w:lang w:val="id-ID" w:eastAsia="en-GB"/>
              </w:rPr>
              <w:t xml:space="preserve">Yes - the definition of complex site agreed for DCP359 is the definition that has been approved and should be considered here. Potential future changes </w:t>
            </w:r>
            <w:r w:rsidRPr="00CE3059">
              <w:rPr>
                <w:rFonts w:eastAsia="Times New Roman" w:cstheme="minorHAnsi"/>
                <w:color w:val="000000"/>
                <w:lang w:val="id-ID" w:eastAsia="en-GB"/>
              </w:rPr>
              <w:lastRenderedPageBreak/>
              <w:t>to the definition arising due to DCP388 should not (and cannot) be taken into account.</w:t>
            </w:r>
          </w:p>
        </w:tc>
        <w:tc>
          <w:tcPr>
            <w:tcW w:w="1984" w:type="dxa"/>
            <w:tcBorders>
              <w:top w:val="single" w:sz="4" w:space="0" w:color="auto"/>
              <w:left w:val="nil"/>
              <w:bottom w:val="single" w:sz="4" w:space="0" w:color="auto"/>
              <w:right w:val="single" w:sz="4" w:space="0" w:color="auto"/>
            </w:tcBorders>
            <w:shd w:val="clear" w:color="auto" w:fill="auto"/>
          </w:tcPr>
          <w:p w14:paraId="51FF5039" w14:textId="6A153150" w:rsidR="000B7D1D" w:rsidRPr="000361CB" w:rsidRDefault="000B7D1D" w:rsidP="00C37B68">
            <w:pPr>
              <w:pStyle w:val="BodyTextNoSpacing"/>
              <w:rPr>
                <w:rFonts w:asciiTheme="minorHAnsi" w:hAnsiTheme="minorHAnsi" w:cstheme="minorHAnsi"/>
                <w:b/>
                <w:bCs/>
                <w:sz w:val="22"/>
                <w:szCs w:val="22"/>
              </w:rPr>
            </w:pPr>
            <w:r w:rsidRPr="00B74EF4">
              <w:rPr>
                <w:rFonts w:asciiTheme="minorHAnsi" w:hAnsiTheme="minorHAnsi" w:cstheme="minorHAnsi"/>
                <w:sz w:val="22"/>
                <w:szCs w:val="22"/>
              </w:rPr>
              <w:lastRenderedPageBreak/>
              <w:t>Supportive</w:t>
            </w:r>
            <w:r>
              <w:rPr>
                <w:rFonts w:asciiTheme="minorHAnsi" w:hAnsiTheme="minorHAnsi" w:cstheme="minorHAnsi"/>
                <w:sz w:val="22"/>
                <w:szCs w:val="22"/>
              </w:rPr>
              <w:t xml:space="preserve">. Note the comment of DCP 388 and the Working Group will </w:t>
            </w:r>
            <w:r>
              <w:rPr>
                <w:rFonts w:asciiTheme="minorHAnsi" w:hAnsiTheme="minorHAnsi" w:cstheme="minorHAnsi"/>
                <w:sz w:val="22"/>
                <w:szCs w:val="22"/>
              </w:rPr>
              <w:lastRenderedPageBreak/>
              <w:t>respond within the Change Report.</w:t>
            </w:r>
          </w:p>
        </w:tc>
        <w:tc>
          <w:tcPr>
            <w:tcW w:w="1559" w:type="dxa"/>
            <w:tcBorders>
              <w:top w:val="single" w:sz="4" w:space="0" w:color="auto"/>
              <w:left w:val="nil"/>
              <w:bottom w:val="single" w:sz="4" w:space="0" w:color="auto"/>
              <w:right w:val="single" w:sz="4" w:space="0" w:color="auto"/>
            </w:tcBorders>
            <w:shd w:val="clear" w:color="auto" w:fill="auto"/>
          </w:tcPr>
          <w:p w14:paraId="4AB5773E" w14:textId="77777777" w:rsidR="000B7D1D" w:rsidRDefault="000B7D1D" w:rsidP="008B233C">
            <w:pPr>
              <w:spacing w:after="0" w:line="240" w:lineRule="auto"/>
              <w:rPr>
                <w:rFonts w:ascii="Calibri" w:eastAsia="Times New Roman" w:hAnsi="Calibri" w:cs="Calibri"/>
                <w:color w:val="000000"/>
                <w:lang w:eastAsia="en-GB"/>
              </w:rPr>
            </w:pPr>
          </w:p>
        </w:tc>
      </w:tr>
      <w:tr w:rsidR="000361CB" w:rsidRPr="008F060A" w14:paraId="746AB876" w14:textId="77777777" w:rsidTr="006F57B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5F112FB" w14:textId="33AE20B7" w:rsidR="000361CB" w:rsidRDefault="003E5424" w:rsidP="008B233C">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12</w:t>
            </w:r>
          </w:p>
        </w:tc>
        <w:tc>
          <w:tcPr>
            <w:tcW w:w="3440" w:type="dxa"/>
            <w:vMerge w:val="restart"/>
            <w:tcBorders>
              <w:top w:val="single" w:sz="4" w:space="0" w:color="auto"/>
              <w:left w:val="nil"/>
              <w:right w:val="single" w:sz="4" w:space="0" w:color="auto"/>
            </w:tcBorders>
            <w:shd w:val="clear" w:color="auto" w:fill="auto"/>
          </w:tcPr>
          <w:p w14:paraId="1C7219D1" w14:textId="50FF6544" w:rsidR="000361CB" w:rsidRPr="00CE3059" w:rsidRDefault="000361CB" w:rsidP="008B233C">
            <w:pPr>
              <w:spacing w:after="0" w:line="240" w:lineRule="auto"/>
              <w:rPr>
                <w:rFonts w:eastAsia="Times New Roman" w:cstheme="minorHAnsi"/>
                <w:bCs/>
                <w:color w:val="000000"/>
                <w:lang w:eastAsia="en-GB"/>
              </w:rPr>
            </w:pPr>
            <w:r w:rsidRPr="00CE3059">
              <w:rPr>
                <w:rFonts w:eastAsia="Times New Roman" w:cstheme="minorHAnsi"/>
                <w:bCs/>
                <w:color w:val="000000"/>
                <w:lang w:eastAsia="en-GB"/>
              </w:rPr>
              <w:t xml:space="preserve">Are </w:t>
            </w:r>
            <w:bookmarkStart w:id="5" w:name="_Hlk80113360"/>
            <w:r w:rsidRPr="00CE3059">
              <w:rPr>
                <w:rFonts w:eastAsia="Times New Roman" w:cstheme="minorHAnsi"/>
                <w:bCs/>
                <w:color w:val="000000"/>
                <w:lang w:eastAsia="en-GB"/>
              </w:rPr>
              <w:t>there any unintended consequences associated with either solution with consideration given to any impact on Independent Distribution Network Operators</w:t>
            </w:r>
            <w:bookmarkEnd w:id="5"/>
            <w:r w:rsidRPr="00CE3059">
              <w:rPr>
                <w:rFonts w:eastAsia="Times New Roman" w:cstheme="minorHAnsi"/>
                <w:bCs/>
                <w:color w:val="000000"/>
                <w:lang w:eastAsia="en-GB"/>
              </w:rPr>
              <w:t>?</w:t>
            </w:r>
          </w:p>
        </w:tc>
        <w:tc>
          <w:tcPr>
            <w:tcW w:w="1379" w:type="dxa"/>
            <w:tcBorders>
              <w:top w:val="single" w:sz="4" w:space="0" w:color="auto"/>
              <w:left w:val="nil"/>
              <w:bottom w:val="single" w:sz="4" w:space="0" w:color="auto"/>
              <w:right w:val="single" w:sz="4" w:space="0" w:color="auto"/>
            </w:tcBorders>
            <w:shd w:val="clear" w:color="auto" w:fill="auto"/>
          </w:tcPr>
          <w:p w14:paraId="60552E08" w14:textId="16F82DBA" w:rsidR="000361CB" w:rsidRDefault="000361CB" w:rsidP="008B233C">
            <w:pPr>
              <w:spacing w:after="0" w:line="240" w:lineRule="auto"/>
              <w:rPr>
                <w:rFonts w:eastAsia="Times New Roman" w:cstheme="minorHAnsi"/>
                <w:color w:val="000000"/>
                <w:lang w:eastAsia="en-GB"/>
              </w:rPr>
            </w:pPr>
            <w:r>
              <w:rPr>
                <w:rFonts w:eastAsia="Times New Roman" w:cstheme="minorHAnsi"/>
                <w:color w:val="000000"/>
                <w:lang w:eastAsia="en-GB"/>
              </w:rPr>
              <w:t>ESPN</w:t>
            </w:r>
          </w:p>
        </w:tc>
        <w:tc>
          <w:tcPr>
            <w:tcW w:w="4962" w:type="dxa"/>
            <w:tcBorders>
              <w:top w:val="single" w:sz="4" w:space="0" w:color="auto"/>
              <w:left w:val="nil"/>
              <w:bottom w:val="single" w:sz="4" w:space="0" w:color="auto"/>
              <w:right w:val="single" w:sz="4" w:space="0" w:color="auto"/>
            </w:tcBorders>
            <w:shd w:val="clear" w:color="auto" w:fill="auto"/>
            <w:vAlign w:val="center"/>
          </w:tcPr>
          <w:p w14:paraId="712B2DCD" w14:textId="77777777"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We have not identified any direct unintended consequences on IDNOs at this time but are disappointed with the lack of clarity for certain aspects and would hope that they are addressed comprehensively before finalising this CP.</w:t>
            </w:r>
          </w:p>
          <w:p w14:paraId="208908E9" w14:textId="77777777"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 xml:space="preserve">The impact assessment and workgroup do not seem to have undertaken an assessment on the impacts of the options on the LDNO tariffs. Given that these tariffs are provided by the PCDM which uses a fixed and static methodology of cost allocation, </w:t>
            </w:r>
            <w:proofErr w:type="gramStart"/>
            <w:r w:rsidRPr="00CE3059">
              <w:rPr>
                <w:rFonts w:eastAsia="Times New Roman" w:cstheme="minorHAnsi"/>
                <w:color w:val="000000"/>
                <w:lang w:eastAsia="en-GB"/>
              </w:rPr>
              <w:t>it would seem that there’s</w:t>
            </w:r>
            <w:proofErr w:type="gramEnd"/>
            <w:r w:rsidRPr="00CE3059">
              <w:rPr>
                <w:rFonts w:eastAsia="Times New Roman" w:cstheme="minorHAnsi"/>
                <w:color w:val="000000"/>
                <w:lang w:eastAsia="en-GB"/>
              </w:rPr>
              <w:t xml:space="preserve"> a mismatch between the cost allocation used to provide the LDNO discount % and the calculation of the PNO rebate or tariff (which removes LV costs).</w:t>
            </w:r>
          </w:p>
          <w:p w14:paraId="44279ACD" w14:textId="77777777"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 xml:space="preserve">Additionally, we would question whether the new methodology for </w:t>
            </w:r>
            <w:proofErr w:type="spellStart"/>
            <w:r w:rsidRPr="00CE3059">
              <w:rPr>
                <w:rFonts w:eastAsia="Times New Roman" w:cstheme="minorHAnsi"/>
                <w:color w:val="000000"/>
                <w:lang w:eastAsia="en-GB"/>
              </w:rPr>
              <w:t>UoS</w:t>
            </w:r>
            <w:proofErr w:type="spellEnd"/>
            <w:r w:rsidRPr="00CE3059">
              <w:rPr>
                <w:rFonts w:eastAsia="Times New Roman" w:cstheme="minorHAnsi"/>
                <w:color w:val="000000"/>
                <w:lang w:eastAsia="en-GB"/>
              </w:rPr>
              <w:t xml:space="preserve"> charges to PNOs does not restrict margins for IDNOs and allows IDNOs to competitively bid for private network sites i.e., IDNOs would earn the same margin as that of the upstream DNO on a notional equivalent. Therefore, we think there is still an element of competition law that should be considered by the workgroup and Panel in its assessment of this CP.</w:t>
            </w:r>
          </w:p>
          <w:p w14:paraId="3ED3D135" w14:textId="3E6A813D" w:rsidR="000361CB" w:rsidRPr="00CE3059" w:rsidRDefault="000361CB" w:rsidP="000361CB">
            <w:pPr>
              <w:spacing w:after="120"/>
              <w:rPr>
                <w:rFonts w:eastAsia="Times New Roman" w:cstheme="minorHAnsi"/>
                <w:color w:val="000000"/>
                <w:lang w:val="id-ID" w:eastAsia="en-GB"/>
              </w:rPr>
            </w:pPr>
            <w:r w:rsidRPr="00CE3059">
              <w:rPr>
                <w:rFonts w:eastAsia="Times New Roman" w:cstheme="minorHAnsi"/>
                <w:color w:val="000000"/>
                <w:lang w:val="id-ID" w:eastAsia="en-GB"/>
              </w:rPr>
              <w:t xml:space="preserve">Lastly, it is not clear how the charging mechanism would work in embedded networks, for example, where the network comprises of a DNO, an IDNO </w:t>
            </w:r>
            <w:r w:rsidRPr="00CE3059">
              <w:rPr>
                <w:rFonts w:eastAsia="Times New Roman" w:cstheme="minorHAnsi"/>
                <w:color w:val="000000"/>
                <w:lang w:val="id-ID" w:eastAsia="en-GB"/>
              </w:rPr>
              <w:lastRenderedPageBreak/>
              <w:t>and a PN connected to the IDNO network as it would appear the DNO would charge/rebate the PN directly.</w:t>
            </w:r>
          </w:p>
        </w:tc>
        <w:tc>
          <w:tcPr>
            <w:tcW w:w="1984" w:type="dxa"/>
            <w:tcBorders>
              <w:top w:val="single" w:sz="4" w:space="0" w:color="auto"/>
              <w:left w:val="nil"/>
              <w:bottom w:val="single" w:sz="4" w:space="0" w:color="auto"/>
              <w:right w:val="single" w:sz="4" w:space="0" w:color="auto"/>
            </w:tcBorders>
            <w:shd w:val="clear" w:color="auto" w:fill="auto"/>
          </w:tcPr>
          <w:p w14:paraId="63ECB03F" w14:textId="77777777"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lastRenderedPageBreak/>
              <w:t>Noted – Working Group will review the impact assessment.</w:t>
            </w:r>
          </w:p>
          <w:p w14:paraId="5F0DB219" w14:textId="77777777" w:rsidR="000361CB" w:rsidRPr="00B74EF4" w:rsidRDefault="000361CB" w:rsidP="00C37B68">
            <w:pPr>
              <w:pStyle w:val="BodyTextNoSpacing"/>
              <w:rPr>
                <w:rFonts w:asciiTheme="minorHAnsi" w:hAnsiTheme="minorHAnsi" w:cstheme="minorHAnsi"/>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0DDEB9B1" w14:textId="1B3ED5D9" w:rsidR="004301CC" w:rsidRPr="009D25A1" w:rsidRDefault="004301CC" w:rsidP="008B233C">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Reviewed an impact assessment document at a high-level which has identified problems scenarios that do exist within this solution. Consideration needs to be given to what the overall assessment of this Change Proposal.</w:t>
            </w:r>
          </w:p>
          <w:p w14:paraId="549E9603" w14:textId="77777777" w:rsidR="004301CC" w:rsidRPr="009D25A1" w:rsidRDefault="004301CC" w:rsidP="008B233C">
            <w:pPr>
              <w:spacing w:after="0" w:line="240" w:lineRule="auto"/>
              <w:rPr>
                <w:rFonts w:ascii="Calibri" w:eastAsia="Times New Roman" w:hAnsi="Calibri" w:cs="Calibri"/>
                <w:color w:val="4472C4" w:themeColor="accent1"/>
                <w:lang w:eastAsia="en-GB"/>
              </w:rPr>
            </w:pPr>
          </w:p>
          <w:p w14:paraId="2B764CBD" w14:textId="13EA36A3" w:rsidR="004301CC" w:rsidRDefault="004301CC" w:rsidP="008B233C">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Check the modelers summary document regarding IDNOs.</w:t>
            </w:r>
          </w:p>
        </w:tc>
      </w:tr>
      <w:tr w:rsidR="000361CB" w:rsidRPr="008F060A" w14:paraId="4B08F182" w14:textId="77777777" w:rsidTr="006F57B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D8A2DAA" w14:textId="19A0E97C" w:rsidR="000361CB" w:rsidRDefault="000361CB" w:rsidP="000361CB">
            <w:pPr>
              <w:spacing w:after="0" w:line="240" w:lineRule="auto"/>
              <w:jc w:val="center"/>
              <w:rPr>
                <w:rFonts w:ascii="Calibri" w:eastAsia="Times New Roman" w:hAnsi="Calibri" w:cs="Calibri"/>
                <w:color w:val="000000"/>
                <w:lang w:eastAsia="en-GB"/>
              </w:rPr>
            </w:pPr>
          </w:p>
        </w:tc>
        <w:tc>
          <w:tcPr>
            <w:tcW w:w="3440" w:type="dxa"/>
            <w:vMerge/>
            <w:tcBorders>
              <w:left w:val="nil"/>
              <w:right w:val="single" w:sz="4" w:space="0" w:color="auto"/>
            </w:tcBorders>
            <w:shd w:val="clear" w:color="auto" w:fill="auto"/>
          </w:tcPr>
          <w:p w14:paraId="4906B49D" w14:textId="77777777" w:rsidR="000361CB" w:rsidRPr="00CE3059" w:rsidRDefault="000361CB" w:rsidP="000361CB">
            <w:pPr>
              <w:spacing w:after="0" w:line="240" w:lineRule="auto"/>
              <w:rPr>
                <w:rFonts w:eastAsia="Times New Roman" w:cstheme="minorHAnsi"/>
                <w:bCs/>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214BCD6B" w14:textId="7C21A0A9" w:rsidR="000361CB" w:rsidRDefault="000361CB" w:rsidP="000361CB">
            <w:pPr>
              <w:spacing w:after="0" w:line="240" w:lineRule="auto"/>
              <w:rPr>
                <w:rFonts w:eastAsia="Times New Roman" w:cstheme="minorHAnsi"/>
                <w:color w:val="000000"/>
                <w:lang w:eastAsia="en-GB"/>
              </w:rPr>
            </w:pPr>
            <w:r w:rsidRPr="00CE3059">
              <w:rPr>
                <w:rFonts w:eastAsia="Times New Roman" w:cstheme="minorHAnsi"/>
                <w:color w:val="000000"/>
                <w:lang w:eastAsia="en-GB"/>
              </w:rPr>
              <w:t>The Electricity Network Company Limited</w:t>
            </w:r>
          </w:p>
        </w:tc>
        <w:tc>
          <w:tcPr>
            <w:tcW w:w="4962" w:type="dxa"/>
            <w:tcBorders>
              <w:top w:val="single" w:sz="4" w:space="0" w:color="auto"/>
              <w:left w:val="nil"/>
              <w:bottom w:val="single" w:sz="4" w:space="0" w:color="auto"/>
              <w:right w:val="single" w:sz="4" w:space="0" w:color="auto"/>
            </w:tcBorders>
            <w:shd w:val="clear" w:color="auto" w:fill="auto"/>
            <w:vAlign w:val="center"/>
          </w:tcPr>
          <w:p w14:paraId="362F80A2" w14:textId="77777777"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 xml:space="preserve">Yes, we have three main concerns in respect of both solutions which will have unintended consequences on IDNOs </w:t>
            </w:r>
          </w:p>
          <w:p w14:paraId="57668B69" w14:textId="77777777" w:rsidR="000361CB" w:rsidRPr="00CE3059" w:rsidRDefault="000361CB" w:rsidP="000361CB">
            <w:pPr>
              <w:pStyle w:val="ListParagraph"/>
              <w:numPr>
                <w:ilvl w:val="0"/>
                <w:numId w:val="1"/>
              </w:numPr>
              <w:spacing w:after="120" w:line="240" w:lineRule="auto"/>
              <w:contextualSpacing/>
              <w:rPr>
                <w:rFonts w:eastAsia="Times New Roman" w:cstheme="minorHAnsi"/>
                <w:color w:val="000000"/>
                <w:lang w:val="en-GB" w:eastAsia="en-GB"/>
              </w:rPr>
            </w:pPr>
            <w:bookmarkStart w:id="6" w:name="_Hlk80115192"/>
            <w:r w:rsidRPr="00CE3059">
              <w:rPr>
                <w:rFonts w:eastAsia="Times New Roman" w:cstheme="minorHAnsi"/>
                <w:color w:val="000000"/>
                <w:lang w:eastAsia="en-GB"/>
              </w:rPr>
              <w:t xml:space="preserve">It is unclear from the legal text what tariff will be applied to an IDNO where an end customer is connected to the DNO via both an IDNO and private network. </w:t>
            </w:r>
            <w:bookmarkEnd w:id="6"/>
            <w:r w:rsidRPr="00CE3059">
              <w:rPr>
                <w:rFonts w:eastAsia="Times New Roman" w:cstheme="minorHAnsi"/>
                <w:color w:val="000000"/>
                <w:lang w:eastAsia="en-GB"/>
              </w:rPr>
              <w:t xml:space="preserve">Taking the following scenario, a private network operator system serves a block of flats (all domestic). That private network operator connects to an IDNO’s network at LV. The IDNO, in turn, connects to the DNO at LV. We take the current reading of the legal text to mean that the tariff which will be applied to the IDNO, by the DNO, is the LDNO </w:t>
            </w:r>
            <w:proofErr w:type="spellStart"/>
            <w:proofErr w:type="gramStart"/>
            <w:r w:rsidRPr="00CE3059">
              <w:rPr>
                <w:rFonts w:eastAsia="Times New Roman" w:cstheme="minorHAnsi"/>
                <w:color w:val="000000"/>
                <w:lang w:eastAsia="en-GB"/>
              </w:rPr>
              <w:t>LV:Domestic</w:t>
            </w:r>
            <w:proofErr w:type="spellEnd"/>
            <w:proofErr w:type="gramEnd"/>
            <w:r w:rsidRPr="00CE3059">
              <w:rPr>
                <w:rFonts w:eastAsia="Times New Roman" w:cstheme="minorHAnsi"/>
                <w:color w:val="000000"/>
                <w:lang w:eastAsia="en-GB"/>
              </w:rPr>
              <w:t xml:space="preserve"> Aggregated tariff. However, we think some consideration should be given by the working group about whether the tariff which should be applied would be the “LDNO LV: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Exempt System Tariffs – LV Connection LV Domestic Aggregated”. </w:t>
            </w:r>
            <w:proofErr w:type="gramStart"/>
            <w:r w:rsidRPr="00CE3059">
              <w:rPr>
                <w:rFonts w:eastAsia="Times New Roman" w:cstheme="minorHAnsi"/>
                <w:color w:val="000000"/>
                <w:lang w:eastAsia="en-GB"/>
              </w:rPr>
              <w:t>That is to say we</w:t>
            </w:r>
            <w:proofErr w:type="gramEnd"/>
            <w:r w:rsidRPr="00CE3059">
              <w:rPr>
                <w:rFonts w:eastAsia="Times New Roman" w:cstheme="minorHAnsi"/>
                <w:color w:val="000000"/>
                <w:lang w:eastAsia="en-GB"/>
              </w:rPr>
              <w:t xml:space="preserve"> wish the working group to consider the application of the LDNO tariff discount factors, as calculated under Schedule 29 to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exempt tariff set such that the IDNO would be charged a tariff discounted from a different starting point (the LES tariff) that would normally apply if the IDNO owned the connection to the customer. This issue is particularly prevalent for solution B as the data will flow through industry systems and </w:t>
            </w:r>
            <w:r w:rsidRPr="00CE3059">
              <w:rPr>
                <w:rFonts w:eastAsia="Times New Roman" w:cstheme="minorHAnsi"/>
                <w:color w:val="000000"/>
                <w:lang w:eastAsia="en-GB"/>
              </w:rPr>
              <w:lastRenderedPageBreak/>
              <w:t>processes, but we also believe it should be considered for option A where the portfolio billing between DNOs and IDNOs will not be dependent on rebates being sought.</w:t>
            </w:r>
          </w:p>
          <w:p w14:paraId="13FF1CB4" w14:textId="77777777" w:rsidR="000361CB" w:rsidRPr="00CE3059" w:rsidRDefault="000361CB" w:rsidP="000361CB">
            <w:pPr>
              <w:pStyle w:val="ListParagraph"/>
              <w:numPr>
                <w:ilvl w:val="0"/>
                <w:numId w:val="1"/>
              </w:numPr>
              <w:spacing w:after="120" w:line="240" w:lineRule="auto"/>
              <w:contextualSpacing/>
              <w:rPr>
                <w:rFonts w:eastAsia="Times New Roman" w:cstheme="minorHAnsi"/>
                <w:color w:val="000000"/>
                <w:lang w:val="en-GB" w:eastAsia="en-GB"/>
              </w:rPr>
            </w:pPr>
            <w:r w:rsidRPr="00CE3059">
              <w:rPr>
                <w:rFonts w:eastAsia="Times New Roman" w:cstheme="minorHAnsi"/>
                <w:color w:val="000000"/>
                <w:lang w:eastAsia="en-GB"/>
              </w:rPr>
              <w:t xml:space="preserve">Both solutions may lead to margin squeeze on LDNO networks which is likely to be worse if point 1 is not addressed. We are working under the assumption that the tariffs for fully settled sites (under both options) are likely to be applied to customers who are connected to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exempt networks via IDNO or DNO out of area networks under Special Condition BA3 of the IDNO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which demands equivalency of charges for Domestic Customers. (</w:t>
            </w:r>
            <w:proofErr w:type="gramStart"/>
            <w:r w:rsidRPr="00CE3059">
              <w:rPr>
                <w:rFonts w:eastAsia="Times New Roman" w:cstheme="minorHAnsi"/>
                <w:color w:val="000000"/>
                <w:lang w:eastAsia="en-GB"/>
              </w:rPr>
              <w:t>i.e.</w:t>
            </w:r>
            <w:proofErr w:type="gramEnd"/>
            <w:r w:rsidRPr="00CE3059">
              <w:rPr>
                <w:rFonts w:eastAsia="Times New Roman" w:cstheme="minorHAnsi"/>
                <w:color w:val="000000"/>
                <w:lang w:eastAsia="en-GB"/>
              </w:rPr>
              <w:t xml:space="preserve"> DNO will charge the LDNO and the LDNO will charge the supplier based on the LES tariff). This will reduce the margin available to the IDNO where it provides connections to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exempt systems. Whilst we understand that this is an inevitable outcome of this change proposal (insofar as the IDNO is avoiding some of the costs associated with the provision of end connections) we do not believe that the current solution has adequately considered the implications on IDNO margins. We are unable to take a full assessment of impacts because we do not have full tariffs available but have undertaken a crude assessment from the data circulated by </w:t>
            </w:r>
            <w:proofErr w:type="spellStart"/>
            <w:r w:rsidRPr="00CE3059">
              <w:rPr>
                <w:rFonts w:eastAsia="Times New Roman" w:cstheme="minorHAnsi"/>
                <w:color w:val="000000"/>
                <w:lang w:eastAsia="en-GB"/>
              </w:rPr>
              <w:t>NPg</w:t>
            </w:r>
            <w:proofErr w:type="spellEnd"/>
            <w:r w:rsidRPr="00CE3059">
              <w:rPr>
                <w:rFonts w:eastAsia="Times New Roman" w:cstheme="minorHAnsi"/>
                <w:color w:val="000000"/>
                <w:lang w:eastAsia="en-GB"/>
              </w:rPr>
              <w:t xml:space="preserve">. Using the estimates and averages for consumption which were contained in the summary circulated by </w:t>
            </w:r>
            <w:proofErr w:type="spellStart"/>
            <w:r w:rsidRPr="00CE3059">
              <w:rPr>
                <w:rFonts w:eastAsia="Times New Roman" w:cstheme="minorHAnsi"/>
                <w:color w:val="000000"/>
                <w:lang w:eastAsia="en-GB"/>
              </w:rPr>
              <w:t>NPg</w:t>
            </w:r>
            <w:proofErr w:type="spellEnd"/>
            <w:r w:rsidRPr="00CE3059">
              <w:rPr>
                <w:rFonts w:eastAsia="Times New Roman" w:cstheme="minorHAnsi"/>
                <w:color w:val="000000"/>
                <w:lang w:eastAsia="en-GB"/>
              </w:rPr>
              <w:t xml:space="preserve">, in the above scenario where the LES connects to the IDNO at LV and the IDNO to the DNO at LV the </w:t>
            </w:r>
            <w:r w:rsidRPr="00CE3059">
              <w:rPr>
                <w:rFonts w:eastAsia="Times New Roman" w:cstheme="minorHAnsi"/>
                <w:color w:val="000000"/>
                <w:lang w:eastAsia="en-GB"/>
              </w:rPr>
              <w:lastRenderedPageBreak/>
              <w:t xml:space="preserve">rebate/margin available to the private network operator is £28.64 per customer whereas the margin available to the IDNO is £11.79 per customer. If the IDNO owned the whole </w:t>
            </w:r>
            <w:proofErr w:type="gramStart"/>
            <w:r w:rsidRPr="00CE3059">
              <w:rPr>
                <w:rFonts w:eastAsia="Times New Roman" w:cstheme="minorHAnsi"/>
                <w:color w:val="000000"/>
                <w:lang w:eastAsia="en-GB"/>
              </w:rPr>
              <w:t>network</w:t>
            </w:r>
            <w:proofErr w:type="gramEnd"/>
            <w:r w:rsidRPr="00CE3059">
              <w:rPr>
                <w:rFonts w:eastAsia="Times New Roman" w:cstheme="minorHAnsi"/>
                <w:color w:val="000000"/>
                <w:lang w:eastAsia="en-GB"/>
              </w:rPr>
              <w:t xml:space="preserve"> then the margin available to the IDNO would be £40.43 (i.e. the combination of LES and IDNO margins). Due to the way that the LES tariffs are calculated (the LES gets a big discount on the fixed charge and the unit rates are barely, if at all, reduced) where a customer reduces their consumption the margin available to the IDNO reduces but the margin available to the LES generally does not. Many private networks are contained within blocks of </w:t>
            </w:r>
            <w:proofErr w:type="gramStart"/>
            <w:r w:rsidRPr="00CE3059">
              <w:rPr>
                <w:rFonts w:eastAsia="Times New Roman" w:cstheme="minorHAnsi"/>
                <w:color w:val="000000"/>
                <w:lang w:eastAsia="en-GB"/>
              </w:rPr>
              <w:t>flats</w:t>
            </w:r>
            <w:proofErr w:type="gramEnd"/>
            <w:r w:rsidRPr="00CE3059">
              <w:rPr>
                <w:rFonts w:eastAsia="Times New Roman" w:cstheme="minorHAnsi"/>
                <w:color w:val="000000"/>
                <w:lang w:eastAsia="en-GB"/>
              </w:rPr>
              <w:t xml:space="preserve"> and it is a reasonable assumption to say that the consumption within a flat is markedly lower than the average domestic customer. If the consumption were to half for a customer on the above </w:t>
            </w:r>
            <w:proofErr w:type="gramStart"/>
            <w:r w:rsidRPr="00CE3059">
              <w:rPr>
                <w:rFonts w:eastAsia="Times New Roman" w:cstheme="minorHAnsi"/>
                <w:color w:val="000000"/>
                <w:lang w:eastAsia="en-GB"/>
              </w:rPr>
              <w:t>scenario</w:t>
            </w:r>
            <w:proofErr w:type="gramEnd"/>
            <w:r w:rsidRPr="00CE3059">
              <w:rPr>
                <w:rFonts w:eastAsia="Times New Roman" w:cstheme="minorHAnsi"/>
                <w:color w:val="000000"/>
                <w:lang w:eastAsia="en-GB"/>
              </w:rPr>
              <w:t xml:space="preserve"> then the margin available to the private network operator would still be £28.64 but the margin available to the IDNO would be £4.10. It is not for us to determine </w:t>
            </w:r>
            <w:proofErr w:type="gramStart"/>
            <w:r w:rsidRPr="00CE3059">
              <w:rPr>
                <w:rFonts w:eastAsia="Times New Roman" w:cstheme="minorHAnsi"/>
                <w:color w:val="000000"/>
                <w:lang w:eastAsia="en-GB"/>
              </w:rPr>
              <w:t>whether or not</w:t>
            </w:r>
            <w:proofErr w:type="gramEnd"/>
            <w:r w:rsidRPr="00CE3059">
              <w:rPr>
                <w:rFonts w:eastAsia="Times New Roman" w:cstheme="minorHAnsi"/>
                <w:color w:val="000000"/>
                <w:lang w:eastAsia="en-GB"/>
              </w:rPr>
              <w:t xml:space="preserve"> the tariffs calculated by this change proposal are compliant with competition law as we are not able to undertake the requisite AEC test. However, we would find it incredibly difficult to believe that the notional downstream DNO business could operate effectively and without cross subsidy on a margin of £4.10 given that many of the costs associated with the provision of MPAS, billing, industry systems,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or code fees will still be borne by that notional downstream DNO business.</w:t>
            </w:r>
          </w:p>
          <w:p w14:paraId="3CFCEBE6" w14:textId="77777777" w:rsidR="000361CB" w:rsidRPr="00CE3059" w:rsidRDefault="000361CB" w:rsidP="000361CB">
            <w:pPr>
              <w:pStyle w:val="ListParagraph"/>
              <w:numPr>
                <w:ilvl w:val="0"/>
                <w:numId w:val="1"/>
              </w:numPr>
              <w:spacing w:after="120" w:line="240" w:lineRule="auto"/>
              <w:contextualSpacing/>
              <w:rPr>
                <w:rFonts w:eastAsia="Times New Roman" w:cstheme="minorHAnsi"/>
                <w:color w:val="000000"/>
                <w:lang w:val="en-GB" w:eastAsia="en-GB"/>
              </w:rPr>
            </w:pPr>
            <w:r w:rsidRPr="00CE3059">
              <w:rPr>
                <w:rFonts w:eastAsia="Times New Roman" w:cstheme="minorHAnsi"/>
                <w:color w:val="000000"/>
                <w:lang w:eastAsia="en-GB"/>
              </w:rPr>
              <w:lastRenderedPageBreak/>
              <w:t xml:space="preserve">The LES tariffs includes a discount network level at LV substation. This is not a network tier which is currently </w:t>
            </w:r>
            <w:proofErr w:type="spellStart"/>
            <w:r w:rsidRPr="00CE3059">
              <w:rPr>
                <w:rFonts w:eastAsia="Times New Roman" w:cstheme="minorHAnsi"/>
                <w:color w:val="000000"/>
                <w:lang w:eastAsia="en-GB"/>
              </w:rPr>
              <w:t>recognised</w:t>
            </w:r>
            <w:proofErr w:type="spellEnd"/>
            <w:r w:rsidRPr="00CE3059">
              <w:rPr>
                <w:rFonts w:eastAsia="Times New Roman" w:cstheme="minorHAnsi"/>
                <w:color w:val="000000"/>
                <w:lang w:eastAsia="en-GB"/>
              </w:rPr>
              <w:t xml:space="preserve"> within the </w:t>
            </w:r>
            <w:proofErr w:type="gramStart"/>
            <w:r w:rsidRPr="00CE3059">
              <w:rPr>
                <w:rFonts w:eastAsia="Times New Roman" w:cstheme="minorHAnsi"/>
                <w:color w:val="000000"/>
                <w:lang w:eastAsia="en-GB"/>
              </w:rPr>
              <w:t>PCDM</w:t>
            </w:r>
            <w:proofErr w:type="gramEnd"/>
            <w:r w:rsidRPr="00CE3059">
              <w:rPr>
                <w:rFonts w:eastAsia="Times New Roman" w:cstheme="minorHAnsi"/>
                <w:color w:val="000000"/>
                <w:lang w:eastAsia="en-GB"/>
              </w:rPr>
              <w:t xml:space="preserve"> and no discount percentages are calculated for this voltage tier. This may create distortions or perverse incentives for networks to be operated on a </w:t>
            </w:r>
            <w:proofErr w:type="spellStart"/>
            <w:r w:rsidRPr="00CE3059">
              <w:rPr>
                <w:rFonts w:eastAsia="Times New Roman" w:cstheme="minorHAnsi"/>
                <w:color w:val="000000"/>
                <w:lang w:eastAsia="en-GB"/>
              </w:rPr>
              <w:t>licence</w:t>
            </w:r>
            <w:proofErr w:type="spellEnd"/>
            <w:r w:rsidRPr="00CE3059">
              <w:rPr>
                <w:rFonts w:eastAsia="Times New Roman" w:cstheme="minorHAnsi"/>
                <w:color w:val="000000"/>
                <w:lang w:eastAsia="en-GB"/>
              </w:rPr>
              <w:t xml:space="preserve"> exempt basis where a greater discount is available to a LES than would be available to an LDNO for the same connection. </w:t>
            </w:r>
          </w:p>
          <w:p w14:paraId="7414484D" w14:textId="4DF2AD79"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val="id-ID" w:eastAsia="en-GB"/>
              </w:rPr>
              <w:t>4. DNOs only bill IDNOs use of system for conveying electricity to and from the DNO/IDNO boundary.  IDNOs are responsible for billing suppliers a bundled use of system charge (a charge for the DNO system and a charge for the IDNO system); i.e. the IDNO is responsible for billing the supplier and collecting the upstream DUoS revenues on behalf of the DNO. To offer such service to private network operators, may be discriminatory – and potentially an abuse.  We do not see why private network operators should be unduly advantaged over IDNOs in respect of this.</w:t>
            </w:r>
          </w:p>
        </w:tc>
        <w:tc>
          <w:tcPr>
            <w:tcW w:w="1984" w:type="dxa"/>
            <w:tcBorders>
              <w:top w:val="single" w:sz="4" w:space="0" w:color="auto"/>
              <w:left w:val="nil"/>
              <w:bottom w:val="single" w:sz="4" w:space="0" w:color="auto"/>
              <w:right w:val="single" w:sz="4" w:space="0" w:color="auto"/>
            </w:tcBorders>
            <w:shd w:val="clear" w:color="auto" w:fill="auto"/>
          </w:tcPr>
          <w:p w14:paraId="44156A4E" w14:textId="77777777"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lastRenderedPageBreak/>
              <w:t>1 and 2: Working Group to review tariffs to see if there are any impacts.</w:t>
            </w:r>
          </w:p>
          <w:p w14:paraId="049C073C" w14:textId="77777777" w:rsidR="000361CB" w:rsidRDefault="000361CB" w:rsidP="000361CB">
            <w:pPr>
              <w:pStyle w:val="BodyTextNoSpacing"/>
              <w:rPr>
                <w:rFonts w:asciiTheme="minorHAnsi" w:hAnsiTheme="minorHAnsi" w:cstheme="minorHAnsi"/>
                <w:sz w:val="22"/>
                <w:szCs w:val="22"/>
              </w:rPr>
            </w:pPr>
          </w:p>
          <w:p w14:paraId="70CE348D" w14:textId="77777777" w:rsidR="000361CB" w:rsidRDefault="000361CB" w:rsidP="000361CB">
            <w:pPr>
              <w:pStyle w:val="BodyTextNoSpacing"/>
              <w:rPr>
                <w:rFonts w:asciiTheme="minorHAnsi" w:hAnsiTheme="minorHAnsi" w:cstheme="minorHAnsi"/>
                <w:sz w:val="22"/>
                <w:szCs w:val="22"/>
              </w:rPr>
            </w:pPr>
          </w:p>
          <w:p w14:paraId="31C3086C" w14:textId="77777777" w:rsidR="000361CB" w:rsidRDefault="000361CB" w:rsidP="000361CB">
            <w:pPr>
              <w:pStyle w:val="BodyTextNoSpacing"/>
              <w:rPr>
                <w:rFonts w:asciiTheme="minorHAnsi" w:hAnsiTheme="minorHAnsi" w:cstheme="minorHAnsi"/>
                <w:sz w:val="22"/>
                <w:szCs w:val="22"/>
              </w:rPr>
            </w:pPr>
          </w:p>
          <w:p w14:paraId="2226F32C" w14:textId="77777777"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t xml:space="preserve">3: Is there a need to align PDCM in some instances. </w:t>
            </w:r>
          </w:p>
          <w:p w14:paraId="4B4BB3F4" w14:textId="77777777" w:rsidR="000361CB" w:rsidRDefault="000361CB" w:rsidP="000361CB">
            <w:pPr>
              <w:pStyle w:val="BodyTextNoSpacing"/>
              <w:rPr>
                <w:rFonts w:asciiTheme="minorHAnsi" w:hAnsiTheme="minorHAnsi" w:cstheme="minorHAnsi"/>
                <w:sz w:val="22"/>
                <w:szCs w:val="22"/>
              </w:rPr>
            </w:pPr>
          </w:p>
          <w:p w14:paraId="4926A849" w14:textId="324370BB"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t>4: Capture some examples of where this issue occurs.</w:t>
            </w:r>
          </w:p>
        </w:tc>
        <w:tc>
          <w:tcPr>
            <w:tcW w:w="1559" w:type="dxa"/>
            <w:tcBorders>
              <w:top w:val="single" w:sz="4" w:space="0" w:color="auto"/>
              <w:left w:val="nil"/>
              <w:bottom w:val="single" w:sz="4" w:space="0" w:color="auto"/>
              <w:right w:val="single" w:sz="4" w:space="0" w:color="auto"/>
            </w:tcBorders>
            <w:shd w:val="clear" w:color="auto" w:fill="auto"/>
          </w:tcPr>
          <w:p w14:paraId="023B155E" w14:textId="73AAA492" w:rsidR="000361CB" w:rsidRPr="009D25A1" w:rsidRDefault="004301CC" w:rsidP="000361CB">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1 - Would apply to all the way </w:t>
            </w:r>
            <w:proofErr w:type="gramStart"/>
            <w:r w:rsidRPr="009D25A1">
              <w:rPr>
                <w:rFonts w:ascii="Calibri" w:eastAsia="Times New Roman" w:hAnsi="Calibri" w:cs="Calibri"/>
                <w:color w:val="4472C4" w:themeColor="accent1"/>
                <w:lang w:eastAsia="en-GB"/>
              </w:rPr>
              <w:t>tariff</w:t>
            </w:r>
            <w:proofErr w:type="gramEnd"/>
            <w:r w:rsidRPr="009D25A1">
              <w:rPr>
                <w:rFonts w:ascii="Calibri" w:eastAsia="Times New Roman" w:hAnsi="Calibri" w:cs="Calibri"/>
                <w:color w:val="4472C4" w:themeColor="accent1"/>
                <w:lang w:eastAsia="en-GB"/>
              </w:rPr>
              <w:t xml:space="preserve">. </w:t>
            </w:r>
          </w:p>
          <w:p w14:paraId="750DCB27" w14:textId="77777777" w:rsidR="004301CC" w:rsidRPr="009D25A1" w:rsidRDefault="004301CC" w:rsidP="000361CB">
            <w:pPr>
              <w:spacing w:after="0" w:line="240" w:lineRule="auto"/>
              <w:rPr>
                <w:rFonts w:ascii="Calibri" w:eastAsia="Times New Roman" w:hAnsi="Calibri" w:cs="Calibri"/>
                <w:color w:val="4472C4" w:themeColor="accent1"/>
                <w:lang w:eastAsia="en-GB"/>
              </w:rPr>
            </w:pPr>
          </w:p>
          <w:p w14:paraId="29885145" w14:textId="77236C38" w:rsidR="004301CC" w:rsidRPr="009D25A1" w:rsidRDefault="004301CC" w:rsidP="000361CB">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2 - Examples of Q2 have been covered within the paper </w:t>
            </w:r>
            <w:r w:rsidR="006C2046" w:rsidRPr="009D25A1">
              <w:rPr>
                <w:rFonts w:ascii="Calibri" w:eastAsia="Times New Roman" w:hAnsi="Calibri" w:cs="Calibri"/>
                <w:color w:val="4472C4" w:themeColor="accent1"/>
                <w:lang w:eastAsia="en-GB"/>
              </w:rPr>
              <w:t>drafted</w:t>
            </w:r>
            <w:r w:rsidRPr="009D25A1">
              <w:rPr>
                <w:rFonts w:ascii="Calibri" w:eastAsia="Times New Roman" w:hAnsi="Calibri" w:cs="Calibri"/>
                <w:color w:val="4472C4" w:themeColor="accent1"/>
                <w:lang w:eastAsia="en-GB"/>
              </w:rPr>
              <w:t xml:space="preserve"> by ENCL with options and process</w:t>
            </w:r>
            <w:r w:rsidR="006C2046" w:rsidRPr="009D25A1">
              <w:rPr>
                <w:rFonts w:ascii="Calibri" w:eastAsia="Times New Roman" w:hAnsi="Calibri" w:cs="Calibri"/>
                <w:color w:val="4472C4" w:themeColor="accent1"/>
                <w:lang w:eastAsia="en-GB"/>
              </w:rPr>
              <w:t>es</w:t>
            </w:r>
            <w:r w:rsidRPr="009D25A1">
              <w:rPr>
                <w:rFonts w:ascii="Calibri" w:eastAsia="Times New Roman" w:hAnsi="Calibri" w:cs="Calibri"/>
                <w:color w:val="4472C4" w:themeColor="accent1"/>
                <w:lang w:eastAsia="en-GB"/>
              </w:rPr>
              <w:t xml:space="preserve"> to be adopted. </w:t>
            </w:r>
          </w:p>
          <w:p w14:paraId="2BC8729A" w14:textId="43E138B0" w:rsidR="004301CC" w:rsidRPr="009D25A1" w:rsidRDefault="004301CC" w:rsidP="000361CB">
            <w:pPr>
              <w:spacing w:after="0" w:line="240" w:lineRule="auto"/>
              <w:rPr>
                <w:rFonts w:ascii="Calibri" w:eastAsia="Times New Roman" w:hAnsi="Calibri" w:cs="Calibri"/>
                <w:color w:val="4472C4" w:themeColor="accent1"/>
                <w:lang w:eastAsia="en-GB"/>
              </w:rPr>
            </w:pPr>
          </w:p>
          <w:p w14:paraId="3248A15D" w14:textId="70D64AA6" w:rsidR="004301CC" w:rsidRPr="009D25A1" w:rsidRDefault="004301CC" w:rsidP="000361CB">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3 – Changes to the outputs within the model will be needed. </w:t>
            </w:r>
          </w:p>
          <w:p w14:paraId="67FAC5CD" w14:textId="1A834149" w:rsidR="004301CC" w:rsidRPr="009D25A1" w:rsidRDefault="004301CC" w:rsidP="000361CB">
            <w:pPr>
              <w:spacing w:after="0" w:line="240" w:lineRule="auto"/>
              <w:rPr>
                <w:rFonts w:ascii="Calibri" w:eastAsia="Times New Roman" w:hAnsi="Calibri" w:cs="Calibri"/>
                <w:color w:val="4472C4" w:themeColor="accent1"/>
                <w:lang w:eastAsia="en-GB"/>
              </w:rPr>
            </w:pPr>
          </w:p>
          <w:p w14:paraId="386C5201" w14:textId="2006981C" w:rsidR="004301CC" w:rsidRPr="009D25A1" w:rsidRDefault="004301CC" w:rsidP="000361CB">
            <w:pPr>
              <w:spacing w:after="0" w:line="240" w:lineRule="auto"/>
              <w:rPr>
                <w:rFonts w:ascii="Calibri" w:eastAsia="Times New Roman" w:hAnsi="Calibri" w:cs="Calibri"/>
                <w:color w:val="4472C4" w:themeColor="accent1"/>
                <w:lang w:eastAsia="en-GB"/>
              </w:rPr>
            </w:pPr>
            <w:r w:rsidRPr="009D25A1">
              <w:rPr>
                <w:rFonts w:ascii="Calibri" w:eastAsia="Times New Roman" w:hAnsi="Calibri" w:cs="Calibri"/>
                <w:color w:val="4472C4" w:themeColor="accent1"/>
                <w:lang w:eastAsia="en-GB"/>
              </w:rPr>
              <w:t xml:space="preserve">4 </w:t>
            </w:r>
            <w:r w:rsidR="00D35B95" w:rsidRPr="009D25A1">
              <w:rPr>
                <w:rFonts w:ascii="Calibri" w:eastAsia="Times New Roman" w:hAnsi="Calibri" w:cs="Calibri"/>
                <w:color w:val="4472C4" w:themeColor="accent1"/>
                <w:lang w:eastAsia="en-GB"/>
              </w:rPr>
              <w:t>–</w:t>
            </w:r>
            <w:r w:rsidRPr="009D25A1">
              <w:rPr>
                <w:rFonts w:ascii="Calibri" w:eastAsia="Times New Roman" w:hAnsi="Calibri" w:cs="Calibri"/>
                <w:color w:val="4472C4" w:themeColor="accent1"/>
                <w:lang w:eastAsia="en-GB"/>
              </w:rPr>
              <w:t xml:space="preserve"> </w:t>
            </w:r>
            <w:r w:rsidR="00D35B95" w:rsidRPr="009D25A1">
              <w:rPr>
                <w:rFonts w:ascii="Calibri" w:eastAsia="Times New Roman" w:hAnsi="Calibri" w:cs="Calibri"/>
                <w:color w:val="4472C4" w:themeColor="accent1"/>
                <w:lang w:eastAsia="en-GB"/>
              </w:rPr>
              <w:t xml:space="preserve">Will add examples into the Change Report as an unintended consequence. </w:t>
            </w:r>
          </w:p>
          <w:p w14:paraId="0E2CB186" w14:textId="77777777" w:rsidR="004301CC" w:rsidRDefault="004301CC" w:rsidP="000361CB">
            <w:pPr>
              <w:spacing w:after="0" w:line="240" w:lineRule="auto"/>
              <w:rPr>
                <w:rFonts w:ascii="Calibri" w:eastAsia="Times New Roman" w:hAnsi="Calibri" w:cs="Calibri"/>
                <w:color w:val="000000"/>
                <w:lang w:eastAsia="en-GB"/>
              </w:rPr>
            </w:pPr>
          </w:p>
          <w:p w14:paraId="6B12CB2A" w14:textId="6DA2809B" w:rsidR="004301CC" w:rsidRDefault="004301CC" w:rsidP="000361CB">
            <w:pPr>
              <w:spacing w:after="0" w:line="240" w:lineRule="auto"/>
              <w:rPr>
                <w:rFonts w:ascii="Calibri" w:eastAsia="Times New Roman" w:hAnsi="Calibri" w:cs="Calibri"/>
                <w:color w:val="000000"/>
                <w:lang w:eastAsia="en-GB"/>
              </w:rPr>
            </w:pPr>
          </w:p>
        </w:tc>
      </w:tr>
      <w:tr w:rsidR="000361CB" w:rsidRPr="008F060A" w14:paraId="509C4AD4" w14:textId="77777777" w:rsidTr="006F57B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E4D9579" w14:textId="0BD39D07" w:rsidR="000361CB" w:rsidRDefault="000361CB" w:rsidP="000361CB">
            <w:pPr>
              <w:spacing w:after="0" w:line="240" w:lineRule="auto"/>
              <w:jc w:val="center"/>
              <w:rPr>
                <w:rFonts w:ascii="Calibri" w:eastAsia="Times New Roman" w:hAnsi="Calibri" w:cs="Calibri"/>
                <w:color w:val="000000"/>
                <w:lang w:eastAsia="en-GB"/>
              </w:rPr>
            </w:pPr>
          </w:p>
        </w:tc>
        <w:tc>
          <w:tcPr>
            <w:tcW w:w="3440" w:type="dxa"/>
            <w:vMerge/>
            <w:tcBorders>
              <w:left w:val="nil"/>
              <w:right w:val="single" w:sz="4" w:space="0" w:color="auto"/>
            </w:tcBorders>
            <w:shd w:val="clear" w:color="auto" w:fill="auto"/>
          </w:tcPr>
          <w:p w14:paraId="616C227D" w14:textId="77777777" w:rsidR="000361CB" w:rsidRPr="00CE3059" w:rsidRDefault="000361CB" w:rsidP="000361CB">
            <w:pPr>
              <w:spacing w:after="0" w:line="240" w:lineRule="auto"/>
              <w:rPr>
                <w:rFonts w:eastAsia="Times New Roman" w:cstheme="minorHAnsi"/>
                <w:bCs/>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0C7405F5" w14:textId="240994FA" w:rsidR="000361CB" w:rsidRPr="00CE3059" w:rsidRDefault="000361CB" w:rsidP="000361CB">
            <w:pPr>
              <w:spacing w:after="0" w:line="240" w:lineRule="auto"/>
              <w:rPr>
                <w:rFonts w:eastAsia="Times New Roman" w:cstheme="minorHAnsi"/>
                <w:color w:val="000000"/>
                <w:lang w:eastAsia="en-GB"/>
              </w:rPr>
            </w:pPr>
            <w:r>
              <w:rPr>
                <w:rFonts w:eastAsia="Times New Roman" w:cstheme="minorHAnsi"/>
                <w:color w:val="000000"/>
                <w:lang w:eastAsia="en-GB"/>
              </w:rPr>
              <w:t>UKPN</w:t>
            </w:r>
          </w:p>
        </w:tc>
        <w:tc>
          <w:tcPr>
            <w:tcW w:w="4962" w:type="dxa"/>
            <w:tcBorders>
              <w:top w:val="single" w:sz="4" w:space="0" w:color="auto"/>
              <w:left w:val="nil"/>
              <w:bottom w:val="single" w:sz="4" w:space="0" w:color="auto"/>
              <w:right w:val="single" w:sz="4" w:space="0" w:color="auto"/>
            </w:tcBorders>
            <w:shd w:val="clear" w:color="auto" w:fill="auto"/>
            <w:vAlign w:val="center"/>
          </w:tcPr>
          <w:p w14:paraId="5EA70FC9" w14:textId="77777777"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 xml:space="preserve">Solution A (Rebates) would as stated earlier, add significant complexity to the arrangements and in our view should not be progressed further. </w:t>
            </w:r>
          </w:p>
          <w:p w14:paraId="5A1534BC" w14:textId="4A156DE2"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val="id-ID" w:eastAsia="en-GB"/>
              </w:rPr>
              <w:t>IDNOs face a lot of the costs which PNOs do not, such as MPRS and DUoS systems and the associated costs, any change brought forward which puts in place arrangements for Private Networks needs to make sure this is fully considered, to ensure that IDNO business models are not negatively impacted.</w:t>
            </w:r>
          </w:p>
        </w:tc>
        <w:tc>
          <w:tcPr>
            <w:tcW w:w="1984" w:type="dxa"/>
            <w:tcBorders>
              <w:top w:val="single" w:sz="4" w:space="0" w:color="auto"/>
              <w:left w:val="nil"/>
              <w:bottom w:val="single" w:sz="4" w:space="0" w:color="auto"/>
              <w:right w:val="single" w:sz="4" w:space="0" w:color="auto"/>
            </w:tcBorders>
            <w:shd w:val="clear" w:color="auto" w:fill="auto"/>
          </w:tcPr>
          <w:p w14:paraId="7A94FAFE" w14:textId="4FD3EA07"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t>Noted – Working Group to review impact assessment to determine whether this issue has been considered.</w:t>
            </w:r>
          </w:p>
        </w:tc>
        <w:tc>
          <w:tcPr>
            <w:tcW w:w="1559" w:type="dxa"/>
            <w:tcBorders>
              <w:top w:val="single" w:sz="4" w:space="0" w:color="auto"/>
              <w:left w:val="nil"/>
              <w:bottom w:val="single" w:sz="4" w:space="0" w:color="auto"/>
              <w:right w:val="single" w:sz="4" w:space="0" w:color="auto"/>
            </w:tcBorders>
            <w:shd w:val="clear" w:color="auto" w:fill="auto"/>
          </w:tcPr>
          <w:p w14:paraId="406DD54A" w14:textId="40DBC45D" w:rsidR="000361CB" w:rsidRDefault="00A36F9C" w:rsidP="000361CB">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 xml:space="preserve">On the </w:t>
            </w:r>
            <w:proofErr w:type="spellStart"/>
            <w:r w:rsidRPr="009D25A1">
              <w:rPr>
                <w:rFonts w:ascii="Calibri" w:eastAsia="Times New Roman" w:hAnsi="Calibri" w:cs="Calibri"/>
                <w:color w:val="4472C4" w:themeColor="accent1"/>
                <w:lang w:eastAsia="en-GB"/>
              </w:rPr>
              <w:t>over all</w:t>
            </w:r>
            <w:proofErr w:type="spellEnd"/>
            <w:r w:rsidRPr="009D25A1">
              <w:rPr>
                <w:rFonts w:ascii="Calibri" w:eastAsia="Times New Roman" w:hAnsi="Calibri" w:cs="Calibri"/>
                <w:color w:val="4472C4" w:themeColor="accent1"/>
                <w:lang w:eastAsia="en-GB"/>
              </w:rPr>
              <w:t xml:space="preserve"> </w:t>
            </w:r>
            <w:r w:rsidR="009D25A1" w:rsidRPr="009D25A1">
              <w:rPr>
                <w:rFonts w:ascii="Calibri" w:eastAsia="Times New Roman" w:hAnsi="Calibri" w:cs="Calibri"/>
                <w:color w:val="4472C4" w:themeColor="accent1"/>
                <w:lang w:eastAsia="en-GB"/>
              </w:rPr>
              <w:t>assessment,</w:t>
            </w:r>
            <w:r w:rsidRPr="009D25A1">
              <w:rPr>
                <w:rFonts w:ascii="Calibri" w:eastAsia="Times New Roman" w:hAnsi="Calibri" w:cs="Calibri"/>
                <w:color w:val="4472C4" w:themeColor="accent1"/>
                <w:lang w:eastAsia="en-GB"/>
              </w:rPr>
              <w:t xml:space="preserve"> we need to request the modeler to amend the model the HV issue (removing the HVLV from the outputs so it is </w:t>
            </w:r>
            <w:r w:rsidRPr="009D25A1">
              <w:rPr>
                <w:rFonts w:ascii="Calibri" w:eastAsia="Times New Roman" w:hAnsi="Calibri" w:cs="Calibri"/>
                <w:color w:val="4472C4" w:themeColor="accent1"/>
                <w:lang w:eastAsia="en-GB"/>
              </w:rPr>
              <w:lastRenderedPageBreak/>
              <w:t xml:space="preserve">in line with the IDNO tariffs) and produce An IDNO and LES comparison in the impact assessment. </w:t>
            </w:r>
          </w:p>
        </w:tc>
      </w:tr>
      <w:tr w:rsidR="000361CB" w:rsidRPr="008F060A" w14:paraId="200ACBA7" w14:textId="77777777" w:rsidTr="006F57B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D2C9693" w14:textId="2167AD4F" w:rsidR="000361CB" w:rsidRDefault="000361CB" w:rsidP="000361CB">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72994C0F" w14:textId="77777777" w:rsidR="000361CB" w:rsidRPr="00CE3059" w:rsidRDefault="000361CB" w:rsidP="000361CB">
            <w:pPr>
              <w:spacing w:after="0" w:line="240" w:lineRule="auto"/>
              <w:rPr>
                <w:rFonts w:eastAsia="Times New Roman" w:cstheme="minorHAnsi"/>
                <w:bCs/>
                <w:color w:val="000000"/>
                <w:lang w:eastAsia="en-GB"/>
              </w:rPr>
            </w:pPr>
          </w:p>
        </w:tc>
        <w:tc>
          <w:tcPr>
            <w:tcW w:w="1379" w:type="dxa"/>
            <w:tcBorders>
              <w:top w:val="single" w:sz="4" w:space="0" w:color="auto"/>
              <w:left w:val="nil"/>
              <w:bottom w:val="single" w:sz="4" w:space="0" w:color="auto"/>
              <w:right w:val="single" w:sz="4" w:space="0" w:color="auto"/>
            </w:tcBorders>
            <w:shd w:val="clear" w:color="auto" w:fill="auto"/>
          </w:tcPr>
          <w:p w14:paraId="7E07C04D" w14:textId="214D0157" w:rsidR="000361CB" w:rsidRDefault="000361CB" w:rsidP="000361CB">
            <w:pPr>
              <w:spacing w:after="0" w:line="240" w:lineRule="auto"/>
              <w:rPr>
                <w:rFonts w:eastAsia="Times New Roman" w:cstheme="minorHAnsi"/>
                <w:color w:val="000000"/>
                <w:lang w:eastAsia="en-GB"/>
              </w:rPr>
            </w:pPr>
            <w:r>
              <w:rPr>
                <w:rFonts w:eastAsia="Times New Roman" w:cstheme="minorHAnsi"/>
                <w:color w:val="000000"/>
                <w:lang w:eastAsia="en-GB"/>
              </w:rPr>
              <w:t>WPD</w:t>
            </w:r>
          </w:p>
        </w:tc>
        <w:tc>
          <w:tcPr>
            <w:tcW w:w="4962" w:type="dxa"/>
            <w:tcBorders>
              <w:top w:val="single" w:sz="4" w:space="0" w:color="auto"/>
              <w:left w:val="nil"/>
              <w:bottom w:val="single" w:sz="4" w:space="0" w:color="auto"/>
              <w:right w:val="single" w:sz="4" w:space="0" w:color="auto"/>
            </w:tcBorders>
            <w:shd w:val="clear" w:color="auto" w:fill="auto"/>
            <w:vAlign w:val="center"/>
          </w:tcPr>
          <w:p w14:paraId="0A6936B2" w14:textId="2DB60E71" w:rsidR="000361CB" w:rsidRPr="00CE3059" w:rsidRDefault="000361CB" w:rsidP="000361CB">
            <w:pPr>
              <w:spacing w:after="120"/>
              <w:rPr>
                <w:rFonts w:eastAsia="Times New Roman" w:cstheme="minorHAnsi"/>
                <w:color w:val="000000"/>
                <w:lang w:eastAsia="en-GB"/>
              </w:rPr>
            </w:pPr>
            <w:r w:rsidRPr="00CE3059">
              <w:rPr>
                <w:rFonts w:eastAsia="Times New Roman" w:cstheme="minorHAnsi"/>
                <w:color w:val="000000"/>
                <w:lang w:eastAsia="en-GB"/>
              </w:rPr>
              <w:t xml:space="preserve">There may be cases where the private network charge is less than the IDNO discount for a particular private network? If this is the </w:t>
            </w:r>
            <w:proofErr w:type="gramStart"/>
            <w:r w:rsidRPr="00CE3059">
              <w:rPr>
                <w:rFonts w:eastAsia="Times New Roman" w:cstheme="minorHAnsi"/>
                <w:color w:val="000000"/>
                <w:lang w:eastAsia="en-GB"/>
              </w:rPr>
              <w:t>case</w:t>
            </w:r>
            <w:proofErr w:type="gramEnd"/>
            <w:r w:rsidRPr="00CE3059">
              <w:rPr>
                <w:rFonts w:eastAsia="Times New Roman" w:cstheme="minorHAnsi"/>
                <w:color w:val="000000"/>
                <w:lang w:eastAsia="en-GB"/>
              </w:rPr>
              <w:t xml:space="preserve"> then a DNO connected to an IDNO connected to a private network could result in an IDNO who mirror the DNOs tariffs having to pay the PNO overall.</w:t>
            </w:r>
          </w:p>
        </w:tc>
        <w:tc>
          <w:tcPr>
            <w:tcW w:w="1984" w:type="dxa"/>
            <w:tcBorders>
              <w:top w:val="single" w:sz="4" w:space="0" w:color="auto"/>
              <w:left w:val="nil"/>
              <w:bottom w:val="single" w:sz="4" w:space="0" w:color="auto"/>
              <w:right w:val="single" w:sz="4" w:space="0" w:color="auto"/>
            </w:tcBorders>
            <w:shd w:val="clear" w:color="auto" w:fill="auto"/>
          </w:tcPr>
          <w:p w14:paraId="016413B9" w14:textId="25739898" w:rsidR="000361CB" w:rsidRDefault="000361CB" w:rsidP="000361CB">
            <w:pPr>
              <w:pStyle w:val="BodyTextNoSpacing"/>
              <w:rPr>
                <w:rFonts w:asciiTheme="minorHAnsi" w:hAnsiTheme="minorHAnsi" w:cstheme="minorHAnsi"/>
                <w:sz w:val="22"/>
                <w:szCs w:val="22"/>
              </w:rPr>
            </w:pPr>
            <w:r>
              <w:rPr>
                <w:rFonts w:asciiTheme="minorHAnsi" w:hAnsiTheme="minorHAnsi" w:cstheme="minorHAnsi"/>
                <w:sz w:val="22"/>
                <w:szCs w:val="22"/>
              </w:rPr>
              <w:t>Noted – Working Group to review impact assessment to determine whether this issue has been considered.</w:t>
            </w:r>
          </w:p>
        </w:tc>
        <w:tc>
          <w:tcPr>
            <w:tcW w:w="1559" w:type="dxa"/>
            <w:tcBorders>
              <w:top w:val="single" w:sz="4" w:space="0" w:color="auto"/>
              <w:left w:val="nil"/>
              <w:bottom w:val="single" w:sz="4" w:space="0" w:color="auto"/>
              <w:right w:val="single" w:sz="4" w:space="0" w:color="auto"/>
            </w:tcBorders>
            <w:shd w:val="clear" w:color="auto" w:fill="auto"/>
          </w:tcPr>
          <w:p w14:paraId="77555780" w14:textId="77777777" w:rsidR="000361CB" w:rsidRDefault="000361CB" w:rsidP="000361CB">
            <w:pPr>
              <w:spacing w:after="0" w:line="240" w:lineRule="auto"/>
              <w:rPr>
                <w:rFonts w:ascii="Calibri" w:eastAsia="Times New Roman" w:hAnsi="Calibri" w:cs="Calibri"/>
                <w:color w:val="000000"/>
                <w:lang w:eastAsia="en-GB"/>
              </w:rPr>
            </w:pPr>
          </w:p>
        </w:tc>
      </w:tr>
      <w:tr w:rsidR="000361CB" w:rsidRPr="008F060A" w14:paraId="136E3E8F" w14:textId="77777777" w:rsidTr="00FA2225">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B3869AF" w14:textId="7CE74CE5" w:rsidR="000361CB" w:rsidRDefault="003E5424" w:rsidP="000361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13</w:t>
            </w:r>
          </w:p>
        </w:tc>
        <w:tc>
          <w:tcPr>
            <w:tcW w:w="3440" w:type="dxa"/>
            <w:tcBorders>
              <w:top w:val="single" w:sz="4" w:space="0" w:color="auto"/>
              <w:left w:val="nil"/>
              <w:bottom w:val="single" w:sz="4" w:space="0" w:color="auto"/>
              <w:right w:val="single" w:sz="4" w:space="0" w:color="auto"/>
            </w:tcBorders>
            <w:shd w:val="clear" w:color="auto" w:fill="auto"/>
          </w:tcPr>
          <w:p w14:paraId="7E3B3C02" w14:textId="693ED5D5" w:rsidR="000361CB" w:rsidRPr="00CE3059" w:rsidRDefault="005870D1" w:rsidP="000361CB">
            <w:pPr>
              <w:spacing w:after="0" w:line="240" w:lineRule="auto"/>
              <w:rPr>
                <w:rFonts w:eastAsia="Times New Roman" w:cstheme="minorHAnsi"/>
                <w:bCs/>
                <w:color w:val="000000"/>
                <w:lang w:eastAsia="en-GB"/>
              </w:rPr>
            </w:pPr>
            <w:r w:rsidRPr="005870D1">
              <w:rPr>
                <w:rFonts w:eastAsia="Times New Roman" w:cstheme="minorHAnsi"/>
                <w:bCs/>
                <w:color w:val="000000"/>
                <w:lang w:eastAsia="en-GB"/>
              </w:rPr>
              <w:t>(Mandatory for DNO Party’s only, optional for other DCUSA Parties): Are there any unintended consequences associated with DCP328 and licence obligations?</w:t>
            </w:r>
          </w:p>
        </w:tc>
        <w:tc>
          <w:tcPr>
            <w:tcW w:w="1379" w:type="dxa"/>
            <w:tcBorders>
              <w:top w:val="single" w:sz="4" w:space="0" w:color="auto"/>
              <w:left w:val="nil"/>
              <w:bottom w:val="single" w:sz="4" w:space="0" w:color="auto"/>
              <w:right w:val="single" w:sz="4" w:space="0" w:color="auto"/>
            </w:tcBorders>
            <w:shd w:val="clear" w:color="auto" w:fill="auto"/>
          </w:tcPr>
          <w:p w14:paraId="417A05F9" w14:textId="6A76D6AB" w:rsidR="000361CB" w:rsidRDefault="005870D1" w:rsidP="000361CB">
            <w:pPr>
              <w:spacing w:after="0" w:line="240" w:lineRule="auto"/>
              <w:rPr>
                <w:rFonts w:eastAsia="Times New Roman" w:cstheme="minorHAnsi"/>
                <w:color w:val="000000"/>
                <w:lang w:eastAsia="en-GB"/>
              </w:rPr>
            </w:pPr>
            <w:r>
              <w:rPr>
                <w:rFonts w:eastAsia="Times New Roman" w:cstheme="minorHAnsi"/>
                <w:color w:val="000000"/>
                <w:lang w:eastAsia="en-GB"/>
              </w:rPr>
              <w:t>SSEG</w:t>
            </w:r>
          </w:p>
        </w:tc>
        <w:tc>
          <w:tcPr>
            <w:tcW w:w="4962" w:type="dxa"/>
            <w:tcBorders>
              <w:top w:val="single" w:sz="4" w:space="0" w:color="auto"/>
              <w:left w:val="nil"/>
              <w:bottom w:val="single" w:sz="4" w:space="0" w:color="auto"/>
              <w:right w:val="single" w:sz="4" w:space="0" w:color="auto"/>
            </w:tcBorders>
            <w:shd w:val="clear" w:color="auto" w:fill="auto"/>
            <w:vAlign w:val="center"/>
          </w:tcPr>
          <w:p w14:paraId="0143F502" w14:textId="6B45172A" w:rsidR="000361CB" w:rsidRPr="00CE3059" w:rsidRDefault="005870D1" w:rsidP="005870D1">
            <w:pPr>
              <w:rPr>
                <w:rFonts w:eastAsia="Times New Roman" w:cstheme="minorHAnsi"/>
                <w:color w:val="000000"/>
                <w:lang w:eastAsia="en-GB"/>
              </w:rPr>
            </w:pPr>
            <w:r>
              <w:rPr>
                <w:rFonts w:ascii="Calibri" w:hAnsi="Calibri" w:cs="Calibri"/>
                <w:color w:val="000000"/>
              </w:rPr>
              <w:t>We note the proposer’s concern that the proposed DCUSA changes are not currently underpinned by the distributors’ licence obligations and may create a conflict. This is because the proposed solutions involve creating new tariffs which relate to customers behind the PNO boundary, whereas, under their SLCs 13A and 13B (relating to the CDCM and the EDCM), distributors’ obligations extend to ‘Designated Properties’ only, which appears to not include customers behind the PNO boundary.</w:t>
            </w:r>
            <w:r>
              <w:rPr>
                <w:rFonts w:ascii="Calibri" w:hAnsi="Calibri" w:cs="Calibri"/>
                <w:color w:val="000000"/>
              </w:rPr>
              <w:br/>
            </w:r>
            <w:r>
              <w:rPr>
                <w:rFonts w:ascii="Calibri" w:hAnsi="Calibri" w:cs="Calibri"/>
                <w:color w:val="000000"/>
              </w:rPr>
              <w:br/>
              <w:t xml:space="preserve">We believe that this concern is addressed by EU regulations (Article 37 of the 2009/72 Third Energy Package, para 6., as adopted into UK law through the Brexit Withdrawal Act), which states that the regulatory authority shall be responsible for fixing or approving transmission and distribution tariffs or </w:t>
            </w:r>
            <w:r>
              <w:rPr>
                <w:rFonts w:ascii="Calibri" w:hAnsi="Calibri" w:cs="Calibri"/>
                <w:color w:val="000000"/>
              </w:rPr>
              <w:lastRenderedPageBreak/>
              <w:t>their methodologies. In the legal hierarchy, the EU regulation sits above the licence and therefore supersedes it, which, in our view, gives the regulator the powers to approve the proposed charging methodology changes even though they are not underpinned by the distributors’ licence.</w:t>
            </w:r>
          </w:p>
        </w:tc>
        <w:tc>
          <w:tcPr>
            <w:tcW w:w="1984" w:type="dxa"/>
            <w:tcBorders>
              <w:top w:val="single" w:sz="4" w:space="0" w:color="auto"/>
              <w:left w:val="nil"/>
              <w:bottom w:val="single" w:sz="4" w:space="0" w:color="auto"/>
              <w:right w:val="single" w:sz="4" w:space="0" w:color="auto"/>
            </w:tcBorders>
            <w:shd w:val="clear" w:color="auto" w:fill="auto"/>
          </w:tcPr>
          <w:p w14:paraId="607B7C46" w14:textId="77777777" w:rsidR="005870D1" w:rsidRDefault="005870D1" w:rsidP="005870D1">
            <w:pPr>
              <w:rPr>
                <w:rFonts w:ascii="Calibri" w:hAnsi="Calibri" w:cs="Calibri"/>
                <w:color w:val="000000"/>
              </w:rPr>
            </w:pPr>
            <w:r>
              <w:rPr>
                <w:rFonts w:ascii="Calibri" w:hAnsi="Calibri" w:cs="Calibri"/>
                <w:color w:val="000000"/>
              </w:rPr>
              <w:lastRenderedPageBreak/>
              <w:t>Secretariat to seek legal opinion on whether Article 37 of the 2009/72 Third Energy Package addresses the licence condition concerns raised in the consultation.</w:t>
            </w:r>
          </w:p>
          <w:p w14:paraId="271AEF25" w14:textId="77777777" w:rsidR="000361CB" w:rsidRDefault="000361CB" w:rsidP="000361CB">
            <w:pPr>
              <w:pStyle w:val="BodyTextNoSpacing"/>
              <w:rPr>
                <w:rFonts w:asciiTheme="minorHAnsi" w:hAnsiTheme="minorHAnsi" w:cstheme="minorHAnsi"/>
                <w:sz w:val="22"/>
                <w:szCs w:val="22"/>
              </w:rPr>
            </w:pPr>
          </w:p>
        </w:tc>
        <w:tc>
          <w:tcPr>
            <w:tcW w:w="1559" w:type="dxa"/>
            <w:tcBorders>
              <w:top w:val="single" w:sz="4" w:space="0" w:color="auto"/>
              <w:left w:val="nil"/>
              <w:bottom w:val="single" w:sz="4" w:space="0" w:color="auto"/>
              <w:right w:val="single" w:sz="4" w:space="0" w:color="auto"/>
            </w:tcBorders>
            <w:shd w:val="clear" w:color="auto" w:fill="auto"/>
          </w:tcPr>
          <w:p w14:paraId="4F5538BB" w14:textId="18E46936" w:rsidR="000361CB" w:rsidRDefault="00A36F9C" w:rsidP="000361CB">
            <w:pPr>
              <w:spacing w:after="0" w:line="240" w:lineRule="auto"/>
              <w:rPr>
                <w:rFonts w:ascii="Calibri" w:eastAsia="Times New Roman" w:hAnsi="Calibri" w:cs="Calibri"/>
                <w:color w:val="000000"/>
                <w:lang w:eastAsia="en-GB"/>
              </w:rPr>
            </w:pPr>
            <w:r w:rsidRPr="009D25A1">
              <w:rPr>
                <w:rFonts w:ascii="Calibri" w:eastAsia="Times New Roman" w:hAnsi="Calibri" w:cs="Calibri"/>
                <w:color w:val="4472C4" w:themeColor="accent1"/>
                <w:lang w:eastAsia="en-GB"/>
              </w:rPr>
              <w:t>Ongoing - TBC</w:t>
            </w:r>
          </w:p>
        </w:tc>
      </w:tr>
      <w:tr w:rsidR="00E82778" w:rsidRPr="008F060A" w14:paraId="3C03724F" w14:textId="77777777" w:rsidTr="00B2179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2F732E4" w14:textId="0A7EE811" w:rsidR="00E82778" w:rsidRDefault="003E5424" w:rsidP="000361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14</w:t>
            </w:r>
          </w:p>
        </w:tc>
        <w:tc>
          <w:tcPr>
            <w:tcW w:w="3440" w:type="dxa"/>
            <w:vMerge w:val="restart"/>
            <w:tcBorders>
              <w:top w:val="single" w:sz="4" w:space="0" w:color="auto"/>
              <w:left w:val="nil"/>
              <w:right w:val="single" w:sz="4" w:space="0" w:color="auto"/>
            </w:tcBorders>
            <w:shd w:val="clear" w:color="auto" w:fill="auto"/>
          </w:tcPr>
          <w:p w14:paraId="60681471" w14:textId="12EB342B" w:rsidR="00E82778" w:rsidRPr="005870D1" w:rsidRDefault="00E82778" w:rsidP="00E82778">
            <w:pPr>
              <w:rPr>
                <w:rFonts w:eastAsia="Times New Roman" w:cstheme="minorHAnsi"/>
                <w:bCs/>
                <w:color w:val="000000"/>
                <w:lang w:eastAsia="en-GB"/>
              </w:rPr>
            </w:pPr>
            <w:r>
              <w:rPr>
                <w:rFonts w:ascii="Calibri" w:hAnsi="Calibri" w:cs="Calibri"/>
                <w:color w:val="000000"/>
              </w:rPr>
              <w:t>Do you have any comments on the legal text?</w:t>
            </w:r>
            <w:r>
              <w:rPr>
                <w:rFonts w:ascii="Calibri" w:hAnsi="Calibri" w:cs="Calibri"/>
                <w:color w:val="4D4D4D"/>
              </w:rPr>
              <w:t xml:space="preserve"> </w:t>
            </w:r>
          </w:p>
        </w:tc>
        <w:tc>
          <w:tcPr>
            <w:tcW w:w="1379" w:type="dxa"/>
            <w:tcBorders>
              <w:top w:val="single" w:sz="4" w:space="0" w:color="auto"/>
              <w:left w:val="nil"/>
              <w:bottom w:val="single" w:sz="4" w:space="0" w:color="auto"/>
              <w:right w:val="single" w:sz="4" w:space="0" w:color="auto"/>
            </w:tcBorders>
            <w:shd w:val="clear" w:color="auto" w:fill="auto"/>
          </w:tcPr>
          <w:p w14:paraId="13E51510" w14:textId="08618805" w:rsidR="00E82778" w:rsidRDefault="00E82778" w:rsidP="000361CB">
            <w:pPr>
              <w:spacing w:after="0" w:line="240" w:lineRule="auto"/>
              <w:rPr>
                <w:rFonts w:eastAsia="Times New Roman" w:cstheme="minorHAnsi"/>
                <w:color w:val="000000"/>
                <w:lang w:eastAsia="en-GB"/>
              </w:rPr>
            </w:pPr>
            <w:r>
              <w:rPr>
                <w:rFonts w:eastAsia="Times New Roman" w:cstheme="minorHAnsi"/>
                <w:color w:val="000000"/>
                <w:lang w:eastAsia="en-GB"/>
              </w:rPr>
              <w:t>ENWL</w:t>
            </w:r>
          </w:p>
        </w:tc>
        <w:tc>
          <w:tcPr>
            <w:tcW w:w="4962" w:type="dxa"/>
            <w:tcBorders>
              <w:top w:val="single" w:sz="4" w:space="0" w:color="auto"/>
              <w:left w:val="nil"/>
              <w:bottom w:val="single" w:sz="4" w:space="0" w:color="auto"/>
              <w:right w:val="single" w:sz="4" w:space="0" w:color="auto"/>
            </w:tcBorders>
            <w:shd w:val="clear" w:color="auto" w:fill="auto"/>
            <w:vAlign w:val="center"/>
          </w:tcPr>
          <w:p w14:paraId="65E7441F" w14:textId="77777777" w:rsidR="00E82778" w:rsidRPr="00E82778" w:rsidRDefault="00E82778" w:rsidP="00E82778">
            <w:pPr>
              <w:rPr>
                <w:rFonts w:ascii="Calibri" w:hAnsi="Calibri" w:cs="Calibri"/>
                <w:color w:val="000000"/>
              </w:rPr>
            </w:pPr>
            <w:r w:rsidRPr="00E82778">
              <w:rPr>
                <w:rFonts w:ascii="Calibri" w:hAnsi="Calibri" w:cs="Calibri"/>
                <w:color w:val="000000"/>
              </w:rPr>
              <w:t xml:space="preserve">We note there is a difference between the drafting of para 29.5A for Solution A and B as shown below, we suggest the Solution A text should read “or” rather than “and”. </w:t>
            </w:r>
          </w:p>
          <w:p w14:paraId="742D4B99" w14:textId="77777777" w:rsidR="00E82778" w:rsidRPr="00E82778" w:rsidRDefault="00E82778" w:rsidP="00E82778">
            <w:pPr>
              <w:rPr>
                <w:rFonts w:ascii="Calibri" w:hAnsi="Calibri" w:cs="Calibri"/>
                <w:color w:val="000000"/>
              </w:rPr>
            </w:pPr>
          </w:p>
          <w:p w14:paraId="08BA33D5" w14:textId="77777777" w:rsidR="00E82778" w:rsidRPr="00E82778" w:rsidRDefault="00E82778" w:rsidP="00E82778">
            <w:pPr>
              <w:rPr>
                <w:rFonts w:ascii="Calibri" w:hAnsi="Calibri" w:cs="Calibri"/>
                <w:color w:val="000000"/>
              </w:rPr>
            </w:pPr>
            <w:r w:rsidRPr="00E82778">
              <w:rPr>
                <w:rFonts w:ascii="Calibri" w:hAnsi="Calibri" w:cs="Calibri"/>
                <w:color w:val="000000"/>
              </w:rPr>
              <w:t>Solution A</w:t>
            </w:r>
          </w:p>
          <w:p w14:paraId="6A63209B" w14:textId="77777777" w:rsidR="00E82778" w:rsidRPr="00E82778" w:rsidRDefault="00E82778" w:rsidP="00E82778">
            <w:pPr>
              <w:rPr>
                <w:rFonts w:ascii="Calibri" w:hAnsi="Calibri" w:cs="Calibri"/>
                <w:color w:val="000000"/>
              </w:rPr>
            </w:pPr>
          </w:p>
          <w:p w14:paraId="77E6DD48" w14:textId="77777777" w:rsidR="00E82778" w:rsidRPr="00E82778" w:rsidRDefault="00E82778" w:rsidP="00E82778">
            <w:pPr>
              <w:rPr>
                <w:rFonts w:ascii="Calibri" w:hAnsi="Calibri" w:cs="Calibri"/>
                <w:color w:val="000000"/>
              </w:rPr>
            </w:pPr>
            <w:r w:rsidRPr="00E82778">
              <w:rPr>
                <w:rFonts w:ascii="Calibri" w:hAnsi="Calibri" w:cs="Calibri"/>
                <w:color w:val="000000"/>
              </w:rPr>
              <w:t>29.5A The following provisions shall apply in the case of an Entry Point or Exit Point on the Company’s Distribution System that is subject to a Difference Metering arrangement and a Shared Metering arrangement:</w:t>
            </w:r>
          </w:p>
          <w:p w14:paraId="6EC40079" w14:textId="77777777" w:rsidR="00E82778" w:rsidRPr="00E82778" w:rsidRDefault="00E82778" w:rsidP="00E82778">
            <w:pPr>
              <w:rPr>
                <w:rFonts w:ascii="Calibri" w:hAnsi="Calibri" w:cs="Calibri"/>
                <w:color w:val="000000"/>
              </w:rPr>
            </w:pPr>
          </w:p>
          <w:p w14:paraId="705322C2" w14:textId="77777777" w:rsidR="00E82778" w:rsidRPr="00E82778" w:rsidRDefault="00E82778" w:rsidP="00E82778">
            <w:pPr>
              <w:rPr>
                <w:rFonts w:ascii="Calibri" w:hAnsi="Calibri" w:cs="Calibri"/>
                <w:color w:val="000000"/>
              </w:rPr>
            </w:pPr>
            <w:r w:rsidRPr="00E82778">
              <w:rPr>
                <w:rFonts w:ascii="Calibri" w:hAnsi="Calibri" w:cs="Calibri"/>
                <w:color w:val="000000"/>
              </w:rPr>
              <w:t>Solution B</w:t>
            </w:r>
          </w:p>
          <w:p w14:paraId="40694F9B" w14:textId="77777777" w:rsidR="00E82778" w:rsidRPr="00E82778" w:rsidRDefault="00E82778" w:rsidP="00E82778">
            <w:pPr>
              <w:rPr>
                <w:rFonts w:ascii="Calibri" w:hAnsi="Calibri" w:cs="Calibri"/>
                <w:color w:val="000000"/>
              </w:rPr>
            </w:pPr>
          </w:p>
          <w:p w14:paraId="5665C168" w14:textId="231FD323" w:rsidR="00E82778" w:rsidRDefault="00E82778" w:rsidP="00E82778">
            <w:pPr>
              <w:rPr>
                <w:rFonts w:ascii="Calibri" w:hAnsi="Calibri" w:cs="Calibri"/>
                <w:color w:val="000000"/>
              </w:rPr>
            </w:pPr>
            <w:r w:rsidRPr="00E82778">
              <w:rPr>
                <w:rFonts w:ascii="Calibri" w:hAnsi="Calibri" w:cs="Calibri"/>
                <w:color w:val="000000"/>
              </w:rPr>
              <w:t>29.5A Where an Entry Point or Exit Point on the Company’s Distribution System is subject to a Difference Metering arrangement or a Shared Metering arrangement</w:t>
            </w:r>
          </w:p>
        </w:tc>
        <w:tc>
          <w:tcPr>
            <w:tcW w:w="1984" w:type="dxa"/>
            <w:tcBorders>
              <w:top w:val="single" w:sz="4" w:space="0" w:color="auto"/>
              <w:left w:val="nil"/>
              <w:bottom w:val="single" w:sz="4" w:space="0" w:color="auto"/>
              <w:right w:val="single" w:sz="4" w:space="0" w:color="auto"/>
            </w:tcBorders>
            <w:shd w:val="clear" w:color="auto" w:fill="auto"/>
          </w:tcPr>
          <w:p w14:paraId="18B98E45" w14:textId="5565EFC9" w:rsidR="00E82778" w:rsidRDefault="00E82778" w:rsidP="005870D1">
            <w:pPr>
              <w:rPr>
                <w:rFonts w:ascii="Calibri" w:hAnsi="Calibri" w:cs="Calibri"/>
                <w:color w:val="000000"/>
              </w:rPr>
            </w:pPr>
            <w:r w:rsidRPr="00E82778">
              <w:rPr>
                <w:rFonts w:ascii="Calibri" w:hAnsi="Calibri" w:cs="Calibri"/>
                <w:color w:val="000000"/>
              </w:rPr>
              <w:t>Secretariat to update legal text</w:t>
            </w:r>
          </w:p>
        </w:tc>
        <w:tc>
          <w:tcPr>
            <w:tcW w:w="1559" w:type="dxa"/>
            <w:tcBorders>
              <w:top w:val="single" w:sz="4" w:space="0" w:color="auto"/>
              <w:left w:val="nil"/>
              <w:bottom w:val="single" w:sz="4" w:space="0" w:color="auto"/>
              <w:right w:val="single" w:sz="4" w:space="0" w:color="auto"/>
            </w:tcBorders>
            <w:shd w:val="clear" w:color="auto" w:fill="auto"/>
          </w:tcPr>
          <w:p w14:paraId="2193BE97" w14:textId="391FFBD3" w:rsidR="00E82778" w:rsidRDefault="00A36F9C" w:rsidP="000361C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Ongoing</w:t>
            </w:r>
          </w:p>
        </w:tc>
      </w:tr>
      <w:tr w:rsidR="00E82778" w:rsidRPr="008F060A" w14:paraId="6776C23E" w14:textId="77777777" w:rsidTr="00B2179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AA8FC9B" w14:textId="480BBD54" w:rsidR="00E82778" w:rsidRDefault="00E82778" w:rsidP="000361CB">
            <w:pPr>
              <w:spacing w:after="0" w:line="240" w:lineRule="auto"/>
              <w:jc w:val="center"/>
              <w:rPr>
                <w:rFonts w:ascii="Calibri" w:eastAsia="Times New Roman" w:hAnsi="Calibri" w:cs="Calibri"/>
                <w:color w:val="000000"/>
                <w:lang w:eastAsia="en-GB"/>
              </w:rPr>
            </w:pPr>
          </w:p>
        </w:tc>
        <w:tc>
          <w:tcPr>
            <w:tcW w:w="3440" w:type="dxa"/>
            <w:vMerge/>
            <w:tcBorders>
              <w:left w:val="nil"/>
              <w:right w:val="single" w:sz="4" w:space="0" w:color="auto"/>
            </w:tcBorders>
            <w:shd w:val="clear" w:color="auto" w:fill="auto"/>
          </w:tcPr>
          <w:p w14:paraId="1FEFB820" w14:textId="77777777" w:rsidR="00E82778" w:rsidRDefault="00E82778" w:rsidP="00E82778">
            <w:pPr>
              <w:rPr>
                <w:rFonts w:ascii="Calibri" w:hAnsi="Calibri" w:cs="Calibri"/>
                <w:color w:val="000000"/>
              </w:rPr>
            </w:pPr>
          </w:p>
        </w:tc>
        <w:tc>
          <w:tcPr>
            <w:tcW w:w="1379" w:type="dxa"/>
            <w:tcBorders>
              <w:top w:val="single" w:sz="4" w:space="0" w:color="auto"/>
              <w:left w:val="nil"/>
              <w:bottom w:val="single" w:sz="4" w:space="0" w:color="auto"/>
              <w:right w:val="single" w:sz="4" w:space="0" w:color="auto"/>
            </w:tcBorders>
            <w:shd w:val="clear" w:color="auto" w:fill="auto"/>
          </w:tcPr>
          <w:p w14:paraId="4A777A18" w14:textId="6B99E741" w:rsidR="00E82778" w:rsidRDefault="00E82778" w:rsidP="000361CB">
            <w:pPr>
              <w:spacing w:after="0" w:line="240" w:lineRule="auto"/>
              <w:rPr>
                <w:rFonts w:eastAsia="Times New Roman" w:cstheme="minorHAnsi"/>
                <w:color w:val="000000"/>
                <w:lang w:eastAsia="en-GB"/>
              </w:rPr>
            </w:pPr>
            <w:r>
              <w:rPr>
                <w:rFonts w:eastAsia="Times New Roman" w:cstheme="minorHAnsi"/>
                <w:color w:val="000000"/>
                <w:lang w:eastAsia="en-GB"/>
              </w:rPr>
              <w:t>SSEG</w:t>
            </w:r>
          </w:p>
        </w:tc>
        <w:tc>
          <w:tcPr>
            <w:tcW w:w="4962" w:type="dxa"/>
            <w:tcBorders>
              <w:top w:val="single" w:sz="4" w:space="0" w:color="auto"/>
              <w:left w:val="nil"/>
              <w:bottom w:val="single" w:sz="4" w:space="0" w:color="auto"/>
              <w:right w:val="single" w:sz="4" w:space="0" w:color="auto"/>
            </w:tcBorders>
            <w:shd w:val="clear" w:color="auto" w:fill="auto"/>
            <w:vAlign w:val="center"/>
          </w:tcPr>
          <w:p w14:paraId="64060081" w14:textId="77777777" w:rsidR="00E82778" w:rsidRPr="00E82778" w:rsidRDefault="00E82778" w:rsidP="00E82778">
            <w:pPr>
              <w:rPr>
                <w:rFonts w:ascii="Calibri" w:hAnsi="Calibri" w:cs="Calibri"/>
                <w:color w:val="000000"/>
              </w:rPr>
            </w:pPr>
            <w:r w:rsidRPr="00E82778">
              <w:rPr>
                <w:rFonts w:ascii="Calibri" w:hAnsi="Calibri" w:cs="Calibri"/>
                <w:color w:val="000000"/>
              </w:rPr>
              <w:t>Legal text for option B</w:t>
            </w:r>
          </w:p>
          <w:p w14:paraId="554E45B4" w14:textId="77777777" w:rsidR="00E82778" w:rsidRPr="00E82778" w:rsidRDefault="00E82778" w:rsidP="00E82778">
            <w:pPr>
              <w:rPr>
                <w:rFonts w:ascii="Calibri" w:hAnsi="Calibri" w:cs="Calibri"/>
                <w:color w:val="000000"/>
              </w:rPr>
            </w:pPr>
          </w:p>
          <w:p w14:paraId="36D4F95C" w14:textId="77777777" w:rsidR="00E82778" w:rsidRPr="00E82778" w:rsidRDefault="00E82778" w:rsidP="00E82778">
            <w:pPr>
              <w:rPr>
                <w:rFonts w:ascii="Calibri" w:hAnsi="Calibri" w:cs="Calibri"/>
                <w:color w:val="000000"/>
              </w:rPr>
            </w:pPr>
            <w:r w:rsidRPr="00E82778">
              <w:rPr>
                <w:rFonts w:ascii="Calibri" w:hAnsi="Calibri" w:cs="Calibri"/>
                <w:color w:val="000000"/>
              </w:rPr>
              <w:t>p.7, schedule 16, at the top of para 88 – the text still refers to both fully settled and shared metering. We believe the latter reference (to shared metering) should be deleted, as the solution set out at para 88 should only apply to fully settled metering.</w:t>
            </w:r>
          </w:p>
          <w:p w14:paraId="236F18A3" w14:textId="77777777" w:rsidR="00E82778" w:rsidRPr="00E82778" w:rsidRDefault="00E82778" w:rsidP="00E82778">
            <w:pPr>
              <w:rPr>
                <w:rFonts w:ascii="Calibri" w:hAnsi="Calibri" w:cs="Calibri"/>
                <w:color w:val="000000"/>
              </w:rPr>
            </w:pPr>
          </w:p>
          <w:p w14:paraId="7810F35D" w14:textId="77777777" w:rsidR="00E82778" w:rsidRPr="00E82778" w:rsidRDefault="00E82778" w:rsidP="00E82778">
            <w:pPr>
              <w:rPr>
                <w:rFonts w:ascii="Calibri" w:hAnsi="Calibri" w:cs="Calibri"/>
                <w:color w:val="000000"/>
              </w:rPr>
            </w:pPr>
            <w:r w:rsidRPr="00E82778">
              <w:rPr>
                <w:rFonts w:ascii="Calibri" w:hAnsi="Calibri" w:cs="Calibri"/>
                <w:color w:val="000000"/>
              </w:rPr>
              <w:t>p.26, schedule 18, para 28.5 – ditto?</w:t>
            </w:r>
          </w:p>
          <w:p w14:paraId="3D5521EF" w14:textId="77777777" w:rsidR="00E82778" w:rsidRPr="00E82778" w:rsidRDefault="00E82778" w:rsidP="00E82778">
            <w:pPr>
              <w:rPr>
                <w:rFonts w:ascii="Calibri" w:hAnsi="Calibri" w:cs="Calibri"/>
                <w:color w:val="000000"/>
              </w:rPr>
            </w:pPr>
          </w:p>
          <w:p w14:paraId="6493B5B8" w14:textId="06039E14" w:rsidR="00E82778" w:rsidRPr="00E82778" w:rsidRDefault="00E82778" w:rsidP="00E82778">
            <w:pPr>
              <w:rPr>
                <w:rFonts w:ascii="Calibri" w:hAnsi="Calibri" w:cs="Calibri"/>
                <w:color w:val="000000"/>
              </w:rPr>
            </w:pPr>
            <w:r w:rsidRPr="00E82778">
              <w:rPr>
                <w:rFonts w:ascii="Calibri" w:hAnsi="Calibri" w:cs="Calibri"/>
                <w:color w:val="000000"/>
              </w:rPr>
              <w:t>We suggest all other legal text is also checked on this point.</w:t>
            </w:r>
          </w:p>
        </w:tc>
        <w:tc>
          <w:tcPr>
            <w:tcW w:w="1984" w:type="dxa"/>
            <w:tcBorders>
              <w:top w:val="single" w:sz="4" w:space="0" w:color="auto"/>
              <w:left w:val="nil"/>
              <w:bottom w:val="single" w:sz="4" w:space="0" w:color="auto"/>
              <w:right w:val="single" w:sz="4" w:space="0" w:color="auto"/>
            </w:tcBorders>
            <w:shd w:val="clear" w:color="auto" w:fill="auto"/>
          </w:tcPr>
          <w:p w14:paraId="11AF4D3B" w14:textId="0029ADF1" w:rsidR="00E82778" w:rsidRPr="00E82778" w:rsidRDefault="00E82778" w:rsidP="005870D1">
            <w:pPr>
              <w:rPr>
                <w:rFonts w:ascii="Calibri" w:hAnsi="Calibri" w:cs="Calibri"/>
                <w:color w:val="000000"/>
              </w:rPr>
            </w:pPr>
            <w:r w:rsidRPr="00E82778">
              <w:rPr>
                <w:rFonts w:ascii="Calibri" w:hAnsi="Calibri" w:cs="Calibri"/>
                <w:color w:val="000000"/>
              </w:rPr>
              <w:t>Secretariat to update legal text and general review of legal text</w:t>
            </w:r>
          </w:p>
        </w:tc>
        <w:tc>
          <w:tcPr>
            <w:tcW w:w="1559" w:type="dxa"/>
            <w:tcBorders>
              <w:top w:val="single" w:sz="4" w:space="0" w:color="auto"/>
              <w:left w:val="nil"/>
              <w:bottom w:val="single" w:sz="4" w:space="0" w:color="auto"/>
              <w:right w:val="single" w:sz="4" w:space="0" w:color="auto"/>
            </w:tcBorders>
            <w:shd w:val="clear" w:color="auto" w:fill="auto"/>
          </w:tcPr>
          <w:p w14:paraId="0D328DCE" w14:textId="27789289" w:rsidR="00E82778" w:rsidRDefault="00A36F9C" w:rsidP="000361C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Ongoing</w:t>
            </w:r>
          </w:p>
        </w:tc>
      </w:tr>
      <w:tr w:rsidR="00E82778" w:rsidRPr="008F060A" w14:paraId="570E1AAA" w14:textId="77777777" w:rsidTr="00B2179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8AB2C5E" w14:textId="779ED667" w:rsidR="00E82778" w:rsidRDefault="00E82778" w:rsidP="000361CB">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49D1DFA0" w14:textId="77777777" w:rsidR="00E82778" w:rsidRDefault="00E82778" w:rsidP="00E82778">
            <w:pPr>
              <w:rPr>
                <w:rFonts w:ascii="Calibri" w:hAnsi="Calibri" w:cs="Calibri"/>
                <w:color w:val="000000"/>
              </w:rPr>
            </w:pPr>
          </w:p>
        </w:tc>
        <w:tc>
          <w:tcPr>
            <w:tcW w:w="1379" w:type="dxa"/>
            <w:tcBorders>
              <w:top w:val="single" w:sz="4" w:space="0" w:color="auto"/>
              <w:left w:val="nil"/>
              <w:bottom w:val="single" w:sz="4" w:space="0" w:color="auto"/>
              <w:right w:val="single" w:sz="4" w:space="0" w:color="auto"/>
            </w:tcBorders>
            <w:shd w:val="clear" w:color="auto" w:fill="auto"/>
          </w:tcPr>
          <w:p w14:paraId="137CCFEC" w14:textId="744289E5" w:rsidR="00E82778" w:rsidRDefault="00E82778" w:rsidP="000361CB">
            <w:pPr>
              <w:spacing w:after="0" w:line="240" w:lineRule="auto"/>
              <w:rPr>
                <w:rFonts w:eastAsia="Times New Roman" w:cstheme="minorHAnsi"/>
                <w:color w:val="000000"/>
                <w:lang w:eastAsia="en-GB"/>
              </w:rPr>
            </w:pPr>
            <w:r>
              <w:rPr>
                <w:rFonts w:eastAsia="Times New Roman" w:cstheme="minorHAnsi"/>
                <w:color w:val="000000"/>
                <w:lang w:eastAsia="en-GB"/>
              </w:rPr>
              <w:t>WPD</w:t>
            </w:r>
          </w:p>
        </w:tc>
        <w:tc>
          <w:tcPr>
            <w:tcW w:w="4962" w:type="dxa"/>
            <w:tcBorders>
              <w:top w:val="single" w:sz="4" w:space="0" w:color="auto"/>
              <w:left w:val="nil"/>
              <w:bottom w:val="single" w:sz="4" w:space="0" w:color="auto"/>
              <w:right w:val="single" w:sz="4" w:space="0" w:color="auto"/>
            </w:tcBorders>
            <w:shd w:val="clear" w:color="auto" w:fill="auto"/>
            <w:vAlign w:val="center"/>
          </w:tcPr>
          <w:p w14:paraId="36415F8F" w14:textId="173FCA75" w:rsidR="00E82778" w:rsidRPr="00E82778" w:rsidRDefault="00E82778" w:rsidP="00E82778">
            <w:pPr>
              <w:rPr>
                <w:rFonts w:ascii="Calibri" w:hAnsi="Calibri" w:cs="Calibri"/>
                <w:color w:val="000000"/>
              </w:rPr>
            </w:pPr>
            <w:r>
              <w:t xml:space="preserve">The following statements in the legal text state that the capacity elements and reactive power elements will be allocated to the fixed charge based using an average kVA or kVArh. Why have the charging methodologies been altered in this way? Capacity charge elements (p/kVA/day) for half-hourly site-specific settled customers connected to Licence Exempt Systems are allocated to the fixed charge (in p/day) by multiplying the capacity charge by the average kVA per customer for an equivalent customer, determined from the DNO Party’s volume forecast for the equivalent halfhourly metered tariff at that voltage. Reactive power charge elements (p/kVArh) for half-hourly site-specific settled customers connected to Licence Exempt Systems are </w:t>
            </w:r>
            <w:r>
              <w:lastRenderedPageBreak/>
              <w:t>allocated to the fixed charge (in p/day) by multiplying the reactive power charge by the average kVArh per customer for an equivalent customer, determined from the DNO Party’s volume forecast for the equivalent half-hourly metered tariff at that voltage, and dividing by the number of days in the charging year. As the capacity element is a large part of the charge it does mean that it is possible for a PNO customer with a high usage and small capacity (High load factor) to have to pay more as a private network than as an all the way customer.</w:t>
            </w:r>
          </w:p>
        </w:tc>
        <w:tc>
          <w:tcPr>
            <w:tcW w:w="1984" w:type="dxa"/>
            <w:tcBorders>
              <w:top w:val="single" w:sz="4" w:space="0" w:color="auto"/>
              <w:left w:val="nil"/>
              <w:bottom w:val="single" w:sz="4" w:space="0" w:color="auto"/>
              <w:right w:val="single" w:sz="4" w:space="0" w:color="auto"/>
            </w:tcBorders>
            <w:shd w:val="clear" w:color="auto" w:fill="auto"/>
          </w:tcPr>
          <w:p w14:paraId="04FBCE17" w14:textId="4DA51538" w:rsidR="00E82778" w:rsidRPr="00E82778" w:rsidRDefault="00E82778" w:rsidP="005870D1">
            <w:pPr>
              <w:rPr>
                <w:rFonts w:ascii="Calibri" w:hAnsi="Calibri" w:cs="Calibri"/>
                <w:color w:val="000000"/>
              </w:rPr>
            </w:pPr>
            <w:r w:rsidRPr="00E82778">
              <w:rPr>
                <w:rFonts w:ascii="Calibri" w:hAnsi="Calibri" w:cs="Calibri"/>
                <w:color w:val="000000"/>
              </w:rPr>
              <w:lastRenderedPageBreak/>
              <w:t>Secretariat to review previous discussions regarding capacity and reactive charges to determine why decision was made to allocate to the fixed charge using an average KVA or KVArh.</w:t>
            </w:r>
          </w:p>
        </w:tc>
        <w:tc>
          <w:tcPr>
            <w:tcW w:w="1559" w:type="dxa"/>
            <w:tcBorders>
              <w:top w:val="single" w:sz="4" w:space="0" w:color="auto"/>
              <w:left w:val="nil"/>
              <w:bottom w:val="single" w:sz="4" w:space="0" w:color="auto"/>
              <w:right w:val="single" w:sz="4" w:space="0" w:color="auto"/>
            </w:tcBorders>
            <w:shd w:val="clear" w:color="auto" w:fill="auto"/>
          </w:tcPr>
          <w:p w14:paraId="4B1DF35D" w14:textId="34B196B7" w:rsidR="00E82778" w:rsidRDefault="004374C7" w:rsidP="000361C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Ongoing</w:t>
            </w:r>
          </w:p>
        </w:tc>
      </w:tr>
      <w:tr w:rsidR="009D25A1" w:rsidRPr="008F060A" w14:paraId="3F8CFDFC" w14:textId="77777777" w:rsidTr="00E8277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EAAA30D" w14:textId="3E9EBD44" w:rsidR="009D25A1" w:rsidRDefault="009D25A1" w:rsidP="000361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15</w:t>
            </w:r>
          </w:p>
        </w:tc>
        <w:tc>
          <w:tcPr>
            <w:tcW w:w="3440" w:type="dxa"/>
            <w:tcBorders>
              <w:top w:val="single" w:sz="4" w:space="0" w:color="auto"/>
              <w:left w:val="nil"/>
              <w:bottom w:val="single" w:sz="4" w:space="0" w:color="auto"/>
              <w:right w:val="single" w:sz="4" w:space="0" w:color="auto"/>
            </w:tcBorders>
            <w:shd w:val="clear" w:color="auto" w:fill="auto"/>
          </w:tcPr>
          <w:p w14:paraId="033DFCF9" w14:textId="793CA144" w:rsidR="009D25A1" w:rsidRPr="00E82778" w:rsidRDefault="009D25A1" w:rsidP="00E82778">
            <w:pPr>
              <w:rPr>
                <w:rFonts w:ascii="Calibri" w:hAnsi="Calibri" w:cs="Calibri"/>
                <w:color w:val="000000"/>
              </w:rPr>
            </w:pPr>
            <w:r>
              <w:rPr>
                <w:rFonts w:ascii="Calibri" w:hAnsi="Calibri" w:cs="Calibri"/>
                <w:color w:val="000000"/>
              </w:rPr>
              <w:t xml:space="preserve">Do you believe that the DCUSA Charging Objectives are better facilitated by this CP? Please provide your rationale. </w:t>
            </w:r>
          </w:p>
        </w:tc>
        <w:tc>
          <w:tcPr>
            <w:tcW w:w="1379" w:type="dxa"/>
            <w:tcBorders>
              <w:top w:val="single" w:sz="4" w:space="0" w:color="auto"/>
              <w:left w:val="nil"/>
              <w:bottom w:val="single" w:sz="4" w:space="0" w:color="auto"/>
              <w:right w:val="single" w:sz="4" w:space="0" w:color="auto"/>
            </w:tcBorders>
            <w:shd w:val="clear" w:color="auto" w:fill="auto"/>
          </w:tcPr>
          <w:p w14:paraId="7C1E885D" w14:textId="7AF44181" w:rsidR="009D25A1" w:rsidRDefault="009D25A1" w:rsidP="000361CB">
            <w:pPr>
              <w:spacing w:after="0" w:line="240" w:lineRule="auto"/>
              <w:rPr>
                <w:rFonts w:eastAsia="Times New Roman" w:cstheme="minorHAnsi"/>
                <w:color w:val="000000"/>
                <w:lang w:eastAsia="en-GB"/>
              </w:rPr>
            </w:pPr>
            <w:r>
              <w:rPr>
                <w:rFonts w:eastAsia="Times New Roman" w:cstheme="minorHAnsi"/>
                <w:color w:val="000000"/>
                <w:lang w:eastAsia="en-GB"/>
              </w:rPr>
              <w:t>N/A</w:t>
            </w:r>
          </w:p>
        </w:tc>
        <w:tc>
          <w:tcPr>
            <w:tcW w:w="4962" w:type="dxa"/>
            <w:tcBorders>
              <w:top w:val="single" w:sz="4" w:space="0" w:color="auto"/>
              <w:left w:val="nil"/>
              <w:bottom w:val="single" w:sz="4" w:space="0" w:color="auto"/>
              <w:right w:val="single" w:sz="4" w:space="0" w:color="auto"/>
            </w:tcBorders>
            <w:shd w:val="clear" w:color="auto" w:fill="auto"/>
          </w:tcPr>
          <w:p w14:paraId="3A624290" w14:textId="77777777" w:rsidR="009D25A1" w:rsidRDefault="009D25A1" w:rsidP="00E82778"/>
        </w:tc>
        <w:tc>
          <w:tcPr>
            <w:tcW w:w="1984" w:type="dxa"/>
            <w:tcBorders>
              <w:top w:val="single" w:sz="4" w:space="0" w:color="auto"/>
              <w:left w:val="nil"/>
              <w:bottom w:val="single" w:sz="4" w:space="0" w:color="auto"/>
              <w:right w:val="single" w:sz="4" w:space="0" w:color="auto"/>
            </w:tcBorders>
            <w:shd w:val="clear" w:color="auto" w:fill="auto"/>
          </w:tcPr>
          <w:p w14:paraId="66A05292" w14:textId="7A699921" w:rsidR="009D25A1" w:rsidRPr="009D25A1" w:rsidRDefault="009D25A1" w:rsidP="005870D1">
            <w:pPr>
              <w:rPr>
                <w:rFonts w:ascii="Calibri" w:hAnsi="Calibri" w:cs="Calibri"/>
                <w:color w:val="4472C4" w:themeColor="accent1"/>
              </w:rPr>
            </w:pPr>
            <w:r w:rsidRPr="009D25A1">
              <w:rPr>
                <w:rFonts w:ascii="Calibri" w:hAnsi="Calibri" w:cs="Calibri"/>
                <w:color w:val="4472C4" w:themeColor="accent1"/>
              </w:rPr>
              <w:t xml:space="preserve">Secretariat to prepare a summary table </w:t>
            </w:r>
            <w:proofErr w:type="gramStart"/>
            <w:r w:rsidRPr="009D25A1">
              <w:rPr>
                <w:rFonts w:ascii="Calibri" w:hAnsi="Calibri" w:cs="Calibri"/>
                <w:color w:val="4472C4" w:themeColor="accent1"/>
              </w:rPr>
              <w:t>in regard to</w:t>
            </w:r>
            <w:proofErr w:type="gramEnd"/>
            <w:r w:rsidRPr="009D25A1">
              <w:rPr>
                <w:rFonts w:ascii="Calibri" w:hAnsi="Calibri" w:cs="Calibri"/>
                <w:color w:val="4472C4" w:themeColor="accent1"/>
              </w:rPr>
              <w:t xml:space="preserve"> charging objectives.</w:t>
            </w:r>
          </w:p>
        </w:tc>
        <w:tc>
          <w:tcPr>
            <w:tcW w:w="1559" w:type="dxa"/>
            <w:tcBorders>
              <w:top w:val="single" w:sz="4" w:space="0" w:color="auto"/>
              <w:left w:val="nil"/>
              <w:bottom w:val="single" w:sz="4" w:space="0" w:color="auto"/>
              <w:right w:val="single" w:sz="4" w:space="0" w:color="auto"/>
            </w:tcBorders>
            <w:shd w:val="clear" w:color="auto" w:fill="auto"/>
          </w:tcPr>
          <w:p w14:paraId="2F8C9716" w14:textId="5FF2A325" w:rsidR="009D25A1" w:rsidRDefault="009D25A1" w:rsidP="000361CB">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Ongoing</w:t>
            </w:r>
          </w:p>
        </w:tc>
      </w:tr>
      <w:tr w:rsidR="00E82778" w:rsidRPr="008F060A" w14:paraId="4FB9B255" w14:textId="77777777" w:rsidTr="00E82778">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3A374F" w14:textId="37919EE3" w:rsidR="00E82778" w:rsidRDefault="003E5424" w:rsidP="000361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16</w:t>
            </w:r>
          </w:p>
        </w:tc>
        <w:tc>
          <w:tcPr>
            <w:tcW w:w="3440" w:type="dxa"/>
            <w:tcBorders>
              <w:top w:val="single" w:sz="4" w:space="0" w:color="auto"/>
              <w:left w:val="nil"/>
              <w:bottom w:val="single" w:sz="4" w:space="0" w:color="auto"/>
              <w:right w:val="single" w:sz="4" w:space="0" w:color="auto"/>
            </w:tcBorders>
            <w:shd w:val="clear" w:color="auto" w:fill="auto"/>
          </w:tcPr>
          <w:p w14:paraId="1F68BBCD" w14:textId="05F4B7B7" w:rsidR="00E82778" w:rsidRDefault="00E82778" w:rsidP="00E82778">
            <w:pPr>
              <w:rPr>
                <w:rFonts w:ascii="Calibri" w:hAnsi="Calibri" w:cs="Calibri"/>
                <w:color w:val="000000"/>
              </w:rPr>
            </w:pPr>
            <w:r w:rsidRPr="00E82778">
              <w:rPr>
                <w:rFonts w:ascii="Calibri" w:hAnsi="Calibri" w:cs="Calibri"/>
                <w:color w:val="000000"/>
              </w:rPr>
              <w:t>If this change was approved, when should it be implemented? Please provide your rationale if different to April 2022</w:t>
            </w:r>
          </w:p>
        </w:tc>
        <w:tc>
          <w:tcPr>
            <w:tcW w:w="1379" w:type="dxa"/>
            <w:tcBorders>
              <w:top w:val="single" w:sz="4" w:space="0" w:color="auto"/>
              <w:left w:val="nil"/>
              <w:bottom w:val="single" w:sz="4" w:space="0" w:color="auto"/>
              <w:right w:val="single" w:sz="4" w:space="0" w:color="auto"/>
            </w:tcBorders>
            <w:shd w:val="clear" w:color="auto" w:fill="auto"/>
          </w:tcPr>
          <w:p w14:paraId="0FF962BF" w14:textId="08721712" w:rsidR="00E82778" w:rsidRDefault="00E82778" w:rsidP="000361CB">
            <w:pPr>
              <w:spacing w:after="0" w:line="240" w:lineRule="auto"/>
              <w:rPr>
                <w:rFonts w:eastAsia="Times New Roman" w:cstheme="minorHAnsi"/>
                <w:color w:val="000000"/>
                <w:lang w:eastAsia="en-GB"/>
              </w:rPr>
            </w:pPr>
            <w:r>
              <w:rPr>
                <w:rFonts w:eastAsia="Times New Roman" w:cstheme="minorHAnsi"/>
                <w:color w:val="000000"/>
                <w:lang w:eastAsia="en-GB"/>
              </w:rPr>
              <w:t>N/A</w:t>
            </w:r>
          </w:p>
        </w:tc>
        <w:tc>
          <w:tcPr>
            <w:tcW w:w="4962" w:type="dxa"/>
            <w:tcBorders>
              <w:top w:val="single" w:sz="4" w:space="0" w:color="auto"/>
              <w:left w:val="nil"/>
              <w:bottom w:val="single" w:sz="4" w:space="0" w:color="auto"/>
              <w:right w:val="single" w:sz="4" w:space="0" w:color="auto"/>
            </w:tcBorders>
            <w:shd w:val="clear" w:color="auto" w:fill="auto"/>
          </w:tcPr>
          <w:p w14:paraId="6D4DE07F" w14:textId="2041B267" w:rsidR="00E82778" w:rsidRDefault="00E82778" w:rsidP="00E82778">
            <w:r>
              <w:t>A decision on the implementation date is still required</w:t>
            </w:r>
          </w:p>
        </w:tc>
        <w:tc>
          <w:tcPr>
            <w:tcW w:w="1984" w:type="dxa"/>
            <w:tcBorders>
              <w:top w:val="single" w:sz="4" w:space="0" w:color="auto"/>
              <w:left w:val="nil"/>
              <w:bottom w:val="single" w:sz="4" w:space="0" w:color="auto"/>
              <w:right w:val="single" w:sz="4" w:space="0" w:color="auto"/>
            </w:tcBorders>
            <w:shd w:val="clear" w:color="auto" w:fill="auto"/>
          </w:tcPr>
          <w:p w14:paraId="5FAA614B" w14:textId="78AF6BC3" w:rsidR="00E82778" w:rsidRPr="009D25A1" w:rsidRDefault="009D25A1" w:rsidP="005870D1">
            <w:pPr>
              <w:rPr>
                <w:rFonts w:ascii="Calibri" w:hAnsi="Calibri" w:cs="Calibri"/>
                <w:color w:val="4472C4" w:themeColor="accent1"/>
              </w:rPr>
            </w:pPr>
            <w:r w:rsidRPr="009D25A1">
              <w:rPr>
                <w:rFonts w:ascii="Calibri" w:hAnsi="Calibri" w:cs="Calibri"/>
                <w:color w:val="4472C4" w:themeColor="accent1"/>
              </w:rPr>
              <w:t>What system changes will be required?</w:t>
            </w:r>
          </w:p>
        </w:tc>
        <w:tc>
          <w:tcPr>
            <w:tcW w:w="1559" w:type="dxa"/>
            <w:tcBorders>
              <w:top w:val="single" w:sz="4" w:space="0" w:color="auto"/>
              <w:left w:val="nil"/>
              <w:bottom w:val="single" w:sz="4" w:space="0" w:color="auto"/>
              <w:right w:val="single" w:sz="4" w:space="0" w:color="auto"/>
            </w:tcBorders>
            <w:shd w:val="clear" w:color="auto" w:fill="auto"/>
          </w:tcPr>
          <w:p w14:paraId="26636F83" w14:textId="77777777" w:rsidR="00E82778" w:rsidRDefault="00E82778" w:rsidP="000361CB">
            <w:pPr>
              <w:spacing w:after="0" w:line="240" w:lineRule="auto"/>
              <w:rPr>
                <w:rFonts w:ascii="Calibri" w:eastAsia="Times New Roman" w:hAnsi="Calibri" w:cs="Calibri"/>
                <w:color w:val="000000"/>
                <w:lang w:eastAsia="en-GB"/>
              </w:rPr>
            </w:pPr>
          </w:p>
        </w:tc>
      </w:tr>
      <w:tr w:rsidR="00E82778" w:rsidRPr="008F060A" w14:paraId="2C8891A8" w14:textId="77777777" w:rsidTr="00ED2280">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ED8CBB3" w14:textId="744D9EAB" w:rsidR="00E82778" w:rsidRDefault="003E5424" w:rsidP="000361CB">
            <w:pPr>
              <w:spacing w:after="0" w:line="240" w:lineRule="auto"/>
              <w:jc w:val="center"/>
              <w:rPr>
                <w:rFonts w:ascii="Calibri" w:eastAsia="Times New Roman" w:hAnsi="Calibri" w:cs="Calibri"/>
                <w:color w:val="000000"/>
                <w:lang w:eastAsia="en-GB"/>
              </w:rPr>
            </w:pPr>
            <w:r>
              <w:rPr>
                <w:rFonts w:ascii="Calibri" w:eastAsia="Times New Roman" w:hAnsi="Calibri" w:cs="Calibri"/>
                <w:color w:val="000000"/>
                <w:lang w:eastAsia="en-GB"/>
              </w:rPr>
              <w:t>17</w:t>
            </w:r>
          </w:p>
        </w:tc>
        <w:tc>
          <w:tcPr>
            <w:tcW w:w="3440" w:type="dxa"/>
            <w:vMerge w:val="restart"/>
            <w:tcBorders>
              <w:top w:val="single" w:sz="4" w:space="0" w:color="auto"/>
              <w:left w:val="nil"/>
              <w:right w:val="single" w:sz="4" w:space="0" w:color="auto"/>
            </w:tcBorders>
            <w:shd w:val="clear" w:color="auto" w:fill="auto"/>
          </w:tcPr>
          <w:p w14:paraId="0E0B94A1" w14:textId="0504C964" w:rsidR="00E82778" w:rsidRPr="00E82778" w:rsidRDefault="00E82778" w:rsidP="00E82778">
            <w:pPr>
              <w:rPr>
                <w:rFonts w:ascii="Calibri" w:hAnsi="Calibri" w:cs="Calibri"/>
                <w:color w:val="000000"/>
              </w:rPr>
            </w:pPr>
            <w:r w:rsidRPr="00E82778">
              <w:rPr>
                <w:rFonts w:ascii="Calibri" w:hAnsi="Calibri" w:cs="Calibri"/>
                <w:color w:val="000000"/>
              </w:rPr>
              <w:t>Any other comments?</w:t>
            </w:r>
          </w:p>
        </w:tc>
        <w:tc>
          <w:tcPr>
            <w:tcW w:w="1379" w:type="dxa"/>
            <w:tcBorders>
              <w:top w:val="single" w:sz="4" w:space="0" w:color="auto"/>
              <w:left w:val="nil"/>
              <w:bottom w:val="single" w:sz="4" w:space="0" w:color="auto"/>
              <w:right w:val="single" w:sz="4" w:space="0" w:color="auto"/>
            </w:tcBorders>
            <w:shd w:val="clear" w:color="auto" w:fill="auto"/>
          </w:tcPr>
          <w:p w14:paraId="003BDC19" w14:textId="77777777" w:rsidR="00E82778" w:rsidRDefault="00E82778" w:rsidP="00E82778">
            <w:pPr>
              <w:rPr>
                <w:rFonts w:ascii="Calibri" w:hAnsi="Calibri" w:cs="Calibri"/>
                <w:color w:val="000000"/>
              </w:rPr>
            </w:pPr>
            <w:r>
              <w:rPr>
                <w:rFonts w:ascii="Calibri" w:hAnsi="Calibri" w:cs="Calibri"/>
                <w:color w:val="000000"/>
              </w:rPr>
              <w:t>SSE Generation</w:t>
            </w:r>
          </w:p>
          <w:p w14:paraId="6D51AF0A" w14:textId="77777777" w:rsidR="00E82778" w:rsidRDefault="00E82778" w:rsidP="000361CB">
            <w:pPr>
              <w:spacing w:after="0" w:line="240" w:lineRule="auto"/>
              <w:rPr>
                <w:rFonts w:eastAsia="Times New Roman" w:cstheme="minorHAnsi"/>
                <w:color w:val="000000"/>
                <w:lang w:eastAsia="en-GB"/>
              </w:rPr>
            </w:pPr>
          </w:p>
        </w:tc>
        <w:tc>
          <w:tcPr>
            <w:tcW w:w="4962" w:type="dxa"/>
            <w:tcBorders>
              <w:top w:val="single" w:sz="4" w:space="0" w:color="auto"/>
              <w:left w:val="nil"/>
              <w:bottom w:val="single" w:sz="4" w:space="0" w:color="auto"/>
              <w:right w:val="single" w:sz="4" w:space="0" w:color="auto"/>
            </w:tcBorders>
            <w:shd w:val="clear" w:color="auto" w:fill="auto"/>
          </w:tcPr>
          <w:p w14:paraId="71B50891" w14:textId="73E2FCA0" w:rsidR="00E82778" w:rsidRDefault="00E82778" w:rsidP="00E82778">
            <w:r>
              <w:t xml:space="preserve">a) We expect that elements of the solution may result in the disclosure of data not currently in the public domain. We would like greater clarity on this, as well as the opportunity to comment, to avoid that commercially sensitive information pertaining to specific private networks is published which could adversely affect competition. b) We note that </w:t>
            </w:r>
            <w:proofErr w:type="gramStart"/>
            <w:r>
              <w:t>with regard to</w:t>
            </w:r>
            <w:proofErr w:type="gramEnd"/>
            <w:r>
              <w:t xml:space="preserve"> a competition law concern raised in </w:t>
            </w:r>
            <w:r>
              <w:lastRenderedPageBreak/>
              <w:t>response to the first consultation, the Working Group concluded that for a DNO to be certain that it is compliant, it would need to undertake an AEC test, and do so of its own accord, since it cannot be compelled to do so. The outcome of this test may help a DNO form its position on the proposals. We don’t feel that the competition concern has been sufficiently well articulated, and we therefore find it difficult to comment. However, we would have serious concern if the approval of this change proposal created an increased risk of breached of competition law compared to the status quo. We are looking to Ofgem to determine whether this is the case.</w:t>
            </w:r>
          </w:p>
        </w:tc>
        <w:tc>
          <w:tcPr>
            <w:tcW w:w="1984" w:type="dxa"/>
            <w:tcBorders>
              <w:top w:val="single" w:sz="4" w:space="0" w:color="auto"/>
              <w:left w:val="nil"/>
              <w:bottom w:val="single" w:sz="4" w:space="0" w:color="auto"/>
              <w:right w:val="single" w:sz="4" w:space="0" w:color="auto"/>
            </w:tcBorders>
            <w:shd w:val="clear" w:color="auto" w:fill="auto"/>
          </w:tcPr>
          <w:p w14:paraId="77F01409" w14:textId="77777777" w:rsidR="00E82778" w:rsidRPr="00E82778" w:rsidRDefault="00E82778" w:rsidP="00E82778">
            <w:pPr>
              <w:rPr>
                <w:rFonts w:ascii="Calibri" w:hAnsi="Calibri" w:cs="Calibri"/>
                <w:color w:val="000000"/>
              </w:rPr>
            </w:pPr>
            <w:r w:rsidRPr="00E82778">
              <w:rPr>
                <w:rFonts w:ascii="Calibri" w:hAnsi="Calibri" w:cs="Calibri"/>
                <w:color w:val="000000"/>
              </w:rPr>
              <w:lastRenderedPageBreak/>
              <w:t xml:space="preserve">Clarity to be added within the Change Report </w:t>
            </w:r>
            <w:proofErr w:type="gramStart"/>
            <w:r w:rsidRPr="00E82778">
              <w:rPr>
                <w:rFonts w:ascii="Calibri" w:hAnsi="Calibri" w:cs="Calibri"/>
                <w:color w:val="000000"/>
              </w:rPr>
              <w:t>in regard to</w:t>
            </w:r>
            <w:proofErr w:type="gramEnd"/>
            <w:r w:rsidRPr="00E82778">
              <w:rPr>
                <w:rFonts w:ascii="Calibri" w:hAnsi="Calibri" w:cs="Calibri"/>
                <w:color w:val="000000"/>
              </w:rPr>
              <w:t xml:space="preserve"> what data will be shared. </w:t>
            </w:r>
          </w:p>
          <w:p w14:paraId="503DA38A" w14:textId="77777777" w:rsidR="00E82778" w:rsidRPr="00E82778" w:rsidRDefault="00E82778" w:rsidP="00E82778">
            <w:pPr>
              <w:rPr>
                <w:rFonts w:ascii="Calibri" w:hAnsi="Calibri" w:cs="Calibri"/>
                <w:color w:val="000000"/>
              </w:rPr>
            </w:pPr>
          </w:p>
          <w:p w14:paraId="49169F48" w14:textId="67B7D227" w:rsidR="00E82778" w:rsidRPr="00E82778" w:rsidRDefault="00E82778" w:rsidP="00E82778">
            <w:pPr>
              <w:rPr>
                <w:rFonts w:ascii="Calibri" w:hAnsi="Calibri" w:cs="Calibri"/>
                <w:color w:val="000000"/>
              </w:rPr>
            </w:pPr>
            <w:r w:rsidRPr="00E82778">
              <w:rPr>
                <w:rFonts w:ascii="Calibri" w:hAnsi="Calibri" w:cs="Calibri"/>
                <w:color w:val="000000"/>
              </w:rPr>
              <w:lastRenderedPageBreak/>
              <w:t>Expand on the current text regarding competition law concerns, including recommendation of AEC test.</w:t>
            </w:r>
          </w:p>
        </w:tc>
        <w:tc>
          <w:tcPr>
            <w:tcW w:w="1559" w:type="dxa"/>
            <w:tcBorders>
              <w:top w:val="single" w:sz="4" w:space="0" w:color="auto"/>
              <w:left w:val="nil"/>
              <w:bottom w:val="single" w:sz="4" w:space="0" w:color="auto"/>
              <w:right w:val="single" w:sz="4" w:space="0" w:color="auto"/>
            </w:tcBorders>
            <w:shd w:val="clear" w:color="auto" w:fill="auto"/>
          </w:tcPr>
          <w:p w14:paraId="03E969B2" w14:textId="77777777" w:rsidR="00E82778" w:rsidRDefault="00E82778" w:rsidP="000361CB">
            <w:pPr>
              <w:spacing w:after="0" w:line="240" w:lineRule="auto"/>
              <w:rPr>
                <w:rFonts w:ascii="Calibri" w:eastAsia="Times New Roman" w:hAnsi="Calibri" w:cs="Calibri"/>
                <w:color w:val="000000"/>
                <w:lang w:eastAsia="en-GB"/>
              </w:rPr>
            </w:pPr>
          </w:p>
        </w:tc>
      </w:tr>
      <w:tr w:rsidR="00E82778" w:rsidRPr="008F060A" w14:paraId="47B8547B" w14:textId="77777777" w:rsidTr="00ED2280">
        <w:trPr>
          <w:trHeight w:val="855"/>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D7036E0" w14:textId="69605848" w:rsidR="00E82778" w:rsidRDefault="00E82778" w:rsidP="000361CB">
            <w:pPr>
              <w:spacing w:after="0" w:line="240" w:lineRule="auto"/>
              <w:jc w:val="center"/>
              <w:rPr>
                <w:rFonts w:ascii="Calibri" w:eastAsia="Times New Roman" w:hAnsi="Calibri" w:cs="Calibri"/>
                <w:color w:val="000000"/>
                <w:lang w:eastAsia="en-GB"/>
              </w:rPr>
            </w:pPr>
          </w:p>
        </w:tc>
        <w:tc>
          <w:tcPr>
            <w:tcW w:w="3440" w:type="dxa"/>
            <w:vMerge/>
            <w:tcBorders>
              <w:left w:val="nil"/>
              <w:bottom w:val="single" w:sz="4" w:space="0" w:color="auto"/>
              <w:right w:val="single" w:sz="4" w:space="0" w:color="auto"/>
            </w:tcBorders>
            <w:shd w:val="clear" w:color="auto" w:fill="auto"/>
          </w:tcPr>
          <w:p w14:paraId="34F61FFE" w14:textId="77777777" w:rsidR="00E82778" w:rsidRPr="00E82778" w:rsidRDefault="00E82778" w:rsidP="00E82778">
            <w:pPr>
              <w:rPr>
                <w:rFonts w:ascii="Calibri" w:hAnsi="Calibri" w:cs="Calibri"/>
                <w:color w:val="000000"/>
              </w:rPr>
            </w:pPr>
          </w:p>
        </w:tc>
        <w:tc>
          <w:tcPr>
            <w:tcW w:w="1379" w:type="dxa"/>
            <w:tcBorders>
              <w:top w:val="single" w:sz="4" w:space="0" w:color="auto"/>
              <w:left w:val="nil"/>
              <w:bottom w:val="single" w:sz="4" w:space="0" w:color="auto"/>
              <w:right w:val="single" w:sz="4" w:space="0" w:color="auto"/>
            </w:tcBorders>
            <w:shd w:val="clear" w:color="auto" w:fill="auto"/>
          </w:tcPr>
          <w:p w14:paraId="581352D9" w14:textId="77777777" w:rsidR="00E82778" w:rsidRDefault="00E82778" w:rsidP="00E82778">
            <w:pPr>
              <w:rPr>
                <w:rFonts w:ascii="Calibri" w:hAnsi="Calibri" w:cs="Calibri"/>
                <w:color w:val="000000"/>
              </w:rPr>
            </w:pPr>
            <w:r>
              <w:rPr>
                <w:rFonts w:ascii="Calibri" w:hAnsi="Calibri" w:cs="Calibri"/>
                <w:color w:val="000000"/>
              </w:rPr>
              <w:t>The Electricity Network Company Limited</w:t>
            </w:r>
          </w:p>
          <w:p w14:paraId="61362D56" w14:textId="77777777" w:rsidR="00E82778" w:rsidRDefault="00E82778" w:rsidP="000361CB">
            <w:pPr>
              <w:spacing w:after="0" w:line="240" w:lineRule="auto"/>
              <w:rPr>
                <w:rFonts w:eastAsia="Times New Roman" w:cstheme="minorHAnsi"/>
                <w:color w:val="000000"/>
                <w:lang w:eastAsia="en-GB"/>
              </w:rPr>
            </w:pPr>
          </w:p>
        </w:tc>
        <w:tc>
          <w:tcPr>
            <w:tcW w:w="4962" w:type="dxa"/>
            <w:tcBorders>
              <w:top w:val="single" w:sz="4" w:space="0" w:color="auto"/>
              <w:left w:val="nil"/>
              <w:bottom w:val="single" w:sz="4" w:space="0" w:color="auto"/>
              <w:right w:val="single" w:sz="4" w:space="0" w:color="auto"/>
            </w:tcBorders>
            <w:shd w:val="clear" w:color="auto" w:fill="auto"/>
          </w:tcPr>
          <w:p w14:paraId="767622D1" w14:textId="09789A88" w:rsidR="00E82778" w:rsidRDefault="00E82778" w:rsidP="00E82778">
            <w:r>
              <w:t xml:space="preserve">We believe that the assessment of this change would be more readily completed if a broader access to some final tariffs were available. We have attempted to undertake some work to highlight our </w:t>
            </w:r>
            <w:proofErr w:type="gramStart"/>
            <w:r>
              <w:t>concerns</w:t>
            </w:r>
            <w:proofErr w:type="gramEnd"/>
            <w:r>
              <w:t xml:space="preserve"> but we are aware that this work is incomplete and does not consider the broad range of eventualities for private network operation. We would welcome further transparency of the tariffs, if possible, ahead of the voting phase for this change proposal We are also concerned that the development of this change is hindered by the lack of an AEC test being undertaken. We note and accept the working group’s comments in the consultation that no party can compel the DNO to undertake the AEC test but parties considering their votes on this change proposal are doing so with </w:t>
            </w:r>
            <w:r>
              <w:lastRenderedPageBreak/>
              <w:t>incomplete information about the consequences of the change. Any further work which can be done to alleviate these concerns will aid the development of this change proposal and provide industry parties with the comfort that they need to be able to vote in favour of this change proposal. We disagree with the assertion in paragraph 3.2 of the consultation that “…the Distributor is obliged to provide Meter Point Administration Services to customers on the private network”. SLC 17.1 only places an obligation on licensed distributors to offer MPAS in respect of premises connected to its distribution system. SLC 17 places no obligation on distributors to offer MPAS on third party networks. Although SLC35 sets out an obligation to provide MPAS and Data transfer Services, the duty only applies to DNOs operating within their distribution services area. It does not apply to IDNOs or DNO networks which are outside their distribution services area. Either way, the provision of such services is subject to agreement – such agreement would be between the private network operator and the relevant DNO. Therefore, whilst a DNO may obliged to offer MPAS services to a private network connected to an IDNO network, the IDNO is not.</w:t>
            </w:r>
          </w:p>
        </w:tc>
        <w:tc>
          <w:tcPr>
            <w:tcW w:w="1984" w:type="dxa"/>
            <w:tcBorders>
              <w:top w:val="single" w:sz="4" w:space="0" w:color="auto"/>
              <w:left w:val="nil"/>
              <w:bottom w:val="single" w:sz="4" w:space="0" w:color="auto"/>
              <w:right w:val="single" w:sz="4" w:space="0" w:color="auto"/>
            </w:tcBorders>
            <w:shd w:val="clear" w:color="auto" w:fill="auto"/>
          </w:tcPr>
          <w:p w14:paraId="2D229F51" w14:textId="4981B25F" w:rsidR="00E82778" w:rsidRPr="00E82778" w:rsidRDefault="00E82778" w:rsidP="005870D1">
            <w:pPr>
              <w:rPr>
                <w:rFonts w:ascii="Calibri" w:hAnsi="Calibri" w:cs="Calibri"/>
                <w:color w:val="000000"/>
              </w:rPr>
            </w:pPr>
            <w:r w:rsidRPr="009D25A1">
              <w:rPr>
                <w:rFonts w:ascii="Calibri" w:hAnsi="Calibri" w:cs="Calibri"/>
                <w:color w:val="4472C4" w:themeColor="accent1"/>
              </w:rPr>
              <w:lastRenderedPageBreak/>
              <w:t>Working Group to review the impact assessments circulated by KB and RC on 24 August and provide feedback at next meeting, in relation to concerns articulated in ENCL response.</w:t>
            </w:r>
          </w:p>
        </w:tc>
        <w:tc>
          <w:tcPr>
            <w:tcW w:w="1559" w:type="dxa"/>
            <w:tcBorders>
              <w:top w:val="single" w:sz="4" w:space="0" w:color="auto"/>
              <w:left w:val="nil"/>
              <w:bottom w:val="single" w:sz="4" w:space="0" w:color="auto"/>
              <w:right w:val="single" w:sz="4" w:space="0" w:color="auto"/>
            </w:tcBorders>
            <w:shd w:val="clear" w:color="auto" w:fill="auto"/>
          </w:tcPr>
          <w:p w14:paraId="2446B5C7" w14:textId="77777777" w:rsidR="00E82778" w:rsidRDefault="00E82778" w:rsidP="000361CB">
            <w:pPr>
              <w:spacing w:after="0" w:line="240" w:lineRule="auto"/>
              <w:rPr>
                <w:rFonts w:ascii="Calibri" w:eastAsia="Times New Roman" w:hAnsi="Calibri" w:cs="Calibri"/>
                <w:color w:val="000000"/>
                <w:lang w:eastAsia="en-GB"/>
              </w:rPr>
            </w:pPr>
          </w:p>
        </w:tc>
      </w:tr>
    </w:tbl>
    <w:p w14:paraId="7052DAC9" w14:textId="77777777" w:rsidR="00EB6484" w:rsidRDefault="009D25A1"/>
    <w:sectPr w:rsidR="00EB6484" w:rsidSect="008F060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23214"/>
    <w:multiLevelType w:val="hybridMultilevel"/>
    <w:tmpl w:val="80B4D8B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0A"/>
    <w:rsid w:val="000361CB"/>
    <w:rsid w:val="000B7D1D"/>
    <w:rsid w:val="001D74CB"/>
    <w:rsid w:val="00210DA4"/>
    <w:rsid w:val="00221DC0"/>
    <w:rsid w:val="002F09DB"/>
    <w:rsid w:val="003E5424"/>
    <w:rsid w:val="004301CC"/>
    <w:rsid w:val="004374C7"/>
    <w:rsid w:val="00480724"/>
    <w:rsid w:val="005870D1"/>
    <w:rsid w:val="00595A1F"/>
    <w:rsid w:val="00680365"/>
    <w:rsid w:val="006A76B0"/>
    <w:rsid w:val="006B0493"/>
    <w:rsid w:val="006C2046"/>
    <w:rsid w:val="007D5DAD"/>
    <w:rsid w:val="00875B79"/>
    <w:rsid w:val="008B233C"/>
    <w:rsid w:val="008C1766"/>
    <w:rsid w:val="008F060A"/>
    <w:rsid w:val="009D25A1"/>
    <w:rsid w:val="00A00998"/>
    <w:rsid w:val="00A36F9C"/>
    <w:rsid w:val="00C37B68"/>
    <w:rsid w:val="00D35B95"/>
    <w:rsid w:val="00D96FBB"/>
    <w:rsid w:val="00E0587B"/>
    <w:rsid w:val="00E82778"/>
    <w:rsid w:val="00F50D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98C4C"/>
  <w15:chartTrackingRefBased/>
  <w15:docId w15:val="{213A91D1-8751-433C-97FF-2D1A7753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NoSpacing">
    <w:name w:val="Body Text No Spacing"/>
    <w:basedOn w:val="BodyText"/>
    <w:qFormat/>
    <w:rsid w:val="008F060A"/>
    <w:pPr>
      <w:spacing w:after="0" w:line="240" w:lineRule="atLeast"/>
    </w:pPr>
    <w:rPr>
      <w:rFonts w:ascii="Verdana" w:hAnsi="Verdana"/>
      <w:sz w:val="20"/>
      <w:szCs w:val="24"/>
    </w:rPr>
  </w:style>
  <w:style w:type="paragraph" w:styleId="BodyText">
    <w:name w:val="Body Text"/>
    <w:basedOn w:val="Normal"/>
    <w:link w:val="BodyTextChar"/>
    <w:uiPriority w:val="99"/>
    <w:semiHidden/>
    <w:unhideWhenUsed/>
    <w:rsid w:val="008F060A"/>
    <w:pPr>
      <w:spacing w:after="120"/>
    </w:pPr>
  </w:style>
  <w:style w:type="character" w:customStyle="1" w:styleId="BodyTextChar">
    <w:name w:val="Body Text Char"/>
    <w:basedOn w:val="DefaultParagraphFont"/>
    <w:link w:val="BodyText"/>
    <w:uiPriority w:val="99"/>
    <w:semiHidden/>
    <w:rsid w:val="008F060A"/>
  </w:style>
  <w:style w:type="table" w:customStyle="1" w:styleId="GSTable1">
    <w:name w:val="GS Table1"/>
    <w:basedOn w:val="TableNormal"/>
    <w:uiPriority w:val="99"/>
    <w:rsid w:val="008F060A"/>
    <w:pPr>
      <w:spacing w:before="60" w:after="120" w:line="240" w:lineRule="auto"/>
    </w:pPr>
    <w:rPr>
      <w:rFonts w:ascii="Calibri" w:hAnsi="Calibri"/>
      <w:lang w:val="en-US"/>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Default">
    <w:name w:val="Default"/>
    <w:rsid w:val="00C37B68"/>
    <w:pPr>
      <w:autoSpaceDE w:val="0"/>
      <w:autoSpaceDN w:val="0"/>
      <w:adjustRightInd w:val="0"/>
      <w:spacing w:after="0" w:line="240" w:lineRule="auto"/>
    </w:pPr>
    <w:rPr>
      <w:rFonts w:ascii="Verdana" w:hAnsi="Verdana" w:cs="Verdana"/>
      <w:color w:val="000000"/>
      <w:sz w:val="24"/>
      <w:szCs w:val="24"/>
    </w:rPr>
  </w:style>
  <w:style w:type="paragraph" w:styleId="ListParagraph">
    <w:name w:val="List Paragraph"/>
    <w:basedOn w:val="Normal"/>
    <w:uiPriority w:val="34"/>
    <w:qFormat/>
    <w:rsid w:val="000361CB"/>
    <w:pPr>
      <w:spacing w:after="200" w:line="276" w:lineRule="auto"/>
      <w:ind w:left="720"/>
    </w:pPr>
    <w:rPr>
      <w:rFonts w:cs="Arial"/>
      <w:color w:val="4D4D4D"/>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24425">
      <w:bodyDiv w:val="1"/>
      <w:marLeft w:val="0"/>
      <w:marRight w:val="0"/>
      <w:marTop w:val="0"/>
      <w:marBottom w:val="0"/>
      <w:divBdr>
        <w:top w:val="none" w:sz="0" w:space="0" w:color="auto"/>
        <w:left w:val="none" w:sz="0" w:space="0" w:color="auto"/>
        <w:bottom w:val="none" w:sz="0" w:space="0" w:color="auto"/>
        <w:right w:val="none" w:sz="0" w:space="0" w:color="auto"/>
      </w:divBdr>
    </w:div>
    <w:div w:id="269556559">
      <w:bodyDiv w:val="1"/>
      <w:marLeft w:val="0"/>
      <w:marRight w:val="0"/>
      <w:marTop w:val="0"/>
      <w:marBottom w:val="0"/>
      <w:divBdr>
        <w:top w:val="none" w:sz="0" w:space="0" w:color="auto"/>
        <w:left w:val="none" w:sz="0" w:space="0" w:color="auto"/>
        <w:bottom w:val="none" w:sz="0" w:space="0" w:color="auto"/>
        <w:right w:val="none" w:sz="0" w:space="0" w:color="auto"/>
      </w:divBdr>
    </w:div>
    <w:div w:id="397168978">
      <w:bodyDiv w:val="1"/>
      <w:marLeft w:val="0"/>
      <w:marRight w:val="0"/>
      <w:marTop w:val="0"/>
      <w:marBottom w:val="0"/>
      <w:divBdr>
        <w:top w:val="none" w:sz="0" w:space="0" w:color="auto"/>
        <w:left w:val="none" w:sz="0" w:space="0" w:color="auto"/>
        <w:bottom w:val="none" w:sz="0" w:space="0" w:color="auto"/>
        <w:right w:val="none" w:sz="0" w:space="0" w:color="auto"/>
      </w:divBdr>
    </w:div>
    <w:div w:id="533348357">
      <w:bodyDiv w:val="1"/>
      <w:marLeft w:val="0"/>
      <w:marRight w:val="0"/>
      <w:marTop w:val="0"/>
      <w:marBottom w:val="0"/>
      <w:divBdr>
        <w:top w:val="none" w:sz="0" w:space="0" w:color="auto"/>
        <w:left w:val="none" w:sz="0" w:space="0" w:color="auto"/>
        <w:bottom w:val="none" w:sz="0" w:space="0" w:color="auto"/>
        <w:right w:val="none" w:sz="0" w:space="0" w:color="auto"/>
      </w:divBdr>
    </w:div>
    <w:div w:id="734352273">
      <w:bodyDiv w:val="1"/>
      <w:marLeft w:val="0"/>
      <w:marRight w:val="0"/>
      <w:marTop w:val="0"/>
      <w:marBottom w:val="0"/>
      <w:divBdr>
        <w:top w:val="none" w:sz="0" w:space="0" w:color="auto"/>
        <w:left w:val="none" w:sz="0" w:space="0" w:color="auto"/>
        <w:bottom w:val="none" w:sz="0" w:space="0" w:color="auto"/>
        <w:right w:val="none" w:sz="0" w:space="0" w:color="auto"/>
      </w:divBdr>
    </w:div>
    <w:div w:id="764956011">
      <w:bodyDiv w:val="1"/>
      <w:marLeft w:val="0"/>
      <w:marRight w:val="0"/>
      <w:marTop w:val="0"/>
      <w:marBottom w:val="0"/>
      <w:divBdr>
        <w:top w:val="none" w:sz="0" w:space="0" w:color="auto"/>
        <w:left w:val="none" w:sz="0" w:space="0" w:color="auto"/>
        <w:bottom w:val="none" w:sz="0" w:space="0" w:color="auto"/>
        <w:right w:val="none" w:sz="0" w:space="0" w:color="auto"/>
      </w:divBdr>
    </w:div>
    <w:div w:id="956063451">
      <w:bodyDiv w:val="1"/>
      <w:marLeft w:val="0"/>
      <w:marRight w:val="0"/>
      <w:marTop w:val="0"/>
      <w:marBottom w:val="0"/>
      <w:divBdr>
        <w:top w:val="none" w:sz="0" w:space="0" w:color="auto"/>
        <w:left w:val="none" w:sz="0" w:space="0" w:color="auto"/>
        <w:bottom w:val="none" w:sz="0" w:space="0" w:color="auto"/>
        <w:right w:val="none" w:sz="0" w:space="0" w:color="auto"/>
      </w:divBdr>
    </w:div>
    <w:div w:id="1008212394">
      <w:bodyDiv w:val="1"/>
      <w:marLeft w:val="0"/>
      <w:marRight w:val="0"/>
      <w:marTop w:val="0"/>
      <w:marBottom w:val="0"/>
      <w:divBdr>
        <w:top w:val="none" w:sz="0" w:space="0" w:color="auto"/>
        <w:left w:val="none" w:sz="0" w:space="0" w:color="auto"/>
        <w:bottom w:val="none" w:sz="0" w:space="0" w:color="auto"/>
        <w:right w:val="none" w:sz="0" w:space="0" w:color="auto"/>
      </w:divBdr>
    </w:div>
    <w:div w:id="158460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295</TotalTime>
  <Pages>17</Pages>
  <Words>4249</Words>
  <Characters>24225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Lawton</dc:creator>
  <cp:keywords/>
  <dc:description/>
  <cp:lastModifiedBy>Melissa Kendal</cp:lastModifiedBy>
  <cp:revision>5</cp:revision>
  <dcterms:created xsi:type="dcterms:W3CDTF">2021-09-17T12:06:00Z</dcterms:created>
  <dcterms:modified xsi:type="dcterms:W3CDTF">2021-09-21T13:44:00Z</dcterms:modified>
</cp:coreProperties>
</file>